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7E" w:rsidRDefault="00E0647E" w:rsidP="00E0647E">
      <w:pPr>
        <w:spacing w:after="0" w:line="240" w:lineRule="auto"/>
        <w:outlineLvl w:val="0"/>
        <w:rPr>
          <w:rFonts w:ascii="inherit" w:eastAsia="Times New Roman" w:hAnsi="inherit" w:cs="Segoe UI"/>
          <w:b/>
          <w:bCs/>
          <w:color w:val="000000"/>
          <w:kern w:val="36"/>
          <w:sz w:val="33"/>
          <w:szCs w:val="33"/>
          <w:lang w:eastAsia="ru-RU"/>
        </w:rPr>
      </w:pPr>
      <w:r w:rsidRPr="00E0647E">
        <w:rPr>
          <w:rFonts w:ascii="inherit" w:eastAsia="Times New Roman" w:hAnsi="inherit" w:cs="Segoe UI"/>
          <w:b/>
          <w:bCs/>
          <w:color w:val="000000"/>
          <w:kern w:val="36"/>
          <w:sz w:val="33"/>
          <w:szCs w:val="33"/>
          <w:lang w:eastAsia="ru-RU"/>
        </w:rPr>
        <w:t xml:space="preserve">Все восемь ЭТП прошли аудит Минфина и ФАС на соответствие требованиям закона о </w:t>
      </w:r>
      <w:proofErr w:type="spellStart"/>
      <w:r w:rsidRPr="00E0647E">
        <w:rPr>
          <w:rFonts w:ascii="inherit" w:eastAsia="Times New Roman" w:hAnsi="inherit" w:cs="Segoe UI"/>
          <w:b/>
          <w:bCs/>
          <w:color w:val="000000"/>
          <w:kern w:val="36"/>
          <w:sz w:val="33"/>
          <w:szCs w:val="33"/>
          <w:lang w:eastAsia="ru-RU"/>
        </w:rPr>
        <w:t>госзакупках</w:t>
      </w:r>
      <w:proofErr w:type="spellEnd"/>
      <w:r w:rsidR="00AC65D9">
        <w:rPr>
          <w:rFonts w:ascii="inherit" w:eastAsia="Times New Roman" w:hAnsi="inherit" w:cs="Segoe UI"/>
          <w:b/>
          <w:bCs/>
          <w:color w:val="000000"/>
          <w:kern w:val="36"/>
          <w:sz w:val="33"/>
          <w:szCs w:val="33"/>
          <w:lang w:eastAsia="ru-RU"/>
        </w:rPr>
        <w:t xml:space="preserve"> - источник</w:t>
      </w:r>
      <w:bookmarkStart w:id="0" w:name="_GoBack"/>
      <w:bookmarkEnd w:id="0"/>
      <w:r w:rsidRPr="00E0647E">
        <w:rPr>
          <w:rFonts w:ascii="inherit" w:eastAsia="Times New Roman" w:hAnsi="inherit" w:cs="Segoe UI"/>
          <w:b/>
          <w:bCs/>
          <w:color w:val="000000"/>
          <w:kern w:val="36"/>
          <w:sz w:val="33"/>
          <w:szCs w:val="33"/>
          <w:lang w:eastAsia="ru-RU"/>
        </w:rPr>
        <w:t xml:space="preserve"> </w:t>
      </w:r>
    </w:p>
    <w:p w:rsidR="00BE4302" w:rsidRPr="00E0647E" w:rsidRDefault="00BE4302" w:rsidP="00E0647E">
      <w:pPr>
        <w:spacing w:after="0" w:line="240" w:lineRule="auto"/>
        <w:outlineLvl w:val="0"/>
        <w:rPr>
          <w:rFonts w:ascii="inherit" w:eastAsia="Times New Roman" w:hAnsi="inherit" w:cs="Segoe UI"/>
          <w:b/>
          <w:bCs/>
          <w:color w:val="000000"/>
          <w:kern w:val="36"/>
          <w:sz w:val="33"/>
          <w:szCs w:val="33"/>
          <w:lang w:eastAsia="ru-RU"/>
        </w:rPr>
      </w:pPr>
    </w:p>
    <w:p w:rsidR="00E0647E" w:rsidRPr="00E0647E" w:rsidRDefault="00E0647E" w:rsidP="00E0647E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Segoe UI"/>
          <w:color w:val="000000"/>
          <w:sz w:val="24"/>
          <w:szCs w:val="24"/>
          <w:lang w:eastAsia="ru-RU"/>
        </w:rPr>
      </w:pPr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Аудит Минфина РФ и Федеральной антимонопольной службы (ФАС) России на соответствие требованиям закона "О контрактной системе" (44-ФЗ) прошли все восемь электронных торговых площадок (ЭТП), включенных в перечень ЭТП для проведения </w:t>
      </w:r>
      <w:proofErr w:type="spell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госзакупок</w:t>
      </w:r>
      <w:proofErr w:type="spell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сообщил "Интерфаксу" источник, знакомый с ситуацией.</w:t>
      </w:r>
    </w:p>
    <w:p w:rsidR="00E0647E" w:rsidRPr="00E0647E" w:rsidRDefault="00E0647E" w:rsidP="00E0647E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Segoe UI"/>
          <w:color w:val="000000"/>
          <w:sz w:val="24"/>
          <w:szCs w:val="24"/>
          <w:lang w:eastAsia="ru-RU"/>
        </w:rPr>
      </w:pPr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его словам, ЭТП со своей стороны уже подписали трехсторонние соглашения с Минфином и ФАС. Ведомства должны это сделать до 1 октября.</w:t>
      </w:r>
    </w:p>
    <w:p w:rsidR="00E0647E" w:rsidRPr="00E0647E" w:rsidRDefault="00E0647E" w:rsidP="00E0647E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Segoe UI"/>
          <w:color w:val="000000"/>
          <w:sz w:val="24"/>
          <w:szCs w:val="24"/>
          <w:lang w:eastAsia="ru-RU"/>
        </w:rPr>
      </w:pPr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пресс-службе Минфина "Интерфаксу" сообщили, что срок заключения соглашений, являющихся основанием для начала функционирования ЭТП, определён правительством - не позднее 1 октября. "В настоящее время завершается работа по аудиту операторов электронных площадок с учетом указанного срока, после завершения которого результаты будут доведены до всех участников контрактной системы", - сказали в министерстве.</w:t>
      </w:r>
    </w:p>
    <w:p w:rsidR="00E0647E" w:rsidRPr="00E0647E" w:rsidRDefault="00E0647E" w:rsidP="00E0647E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Segoe UI"/>
          <w:color w:val="000000"/>
          <w:sz w:val="24"/>
          <w:szCs w:val="24"/>
          <w:lang w:eastAsia="ru-RU"/>
        </w:rPr>
      </w:pPr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Соответственно с 1 октября эти ЭТП смогут проводить </w:t>
      </w:r>
      <w:proofErr w:type="spell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госзакупки</w:t>
      </w:r>
      <w:proofErr w:type="spell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закупки госкомпаний у субъектов малого и среднего предпринимательства (МСП) в электронной форме в соответствии с новой редакцией 44-ФЗ, вступившей в силу с 1 июля текущего года.</w:t>
      </w:r>
    </w:p>
    <w:p w:rsidR="00E0647E" w:rsidRPr="00E0647E" w:rsidRDefault="00E0647E" w:rsidP="00E0647E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Segoe UI"/>
          <w:color w:val="000000"/>
          <w:sz w:val="24"/>
          <w:szCs w:val="24"/>
          <w:lang w:eastAsia="ru-RU"/>
        </w:rPr>
      </w:pPr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сообщалось, в июле текущего года правительство РФ утвердило перечни ЭТП для проведения </w:t>
      </w:r>
      <w:proofErr w:type="spell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госзакупок</w:t>
      </w:r>
      <w:proofErr w:type="spell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банков, имеющих право открывать и вести </w:t>
      </w:r>
      <w:proofErr w:type="spell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спецсчета</w:t>
      </w:r>
      <w:proofErr w:type="spell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размещения средств обеспечения заявок на участие в </w:t>
      </w:r>
      <w:proofErr w:type="spell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госзакупках</w:t>
      </w:r>
      <w:proofErr w:type="spell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0647E" w:rsidRPr="00E0647E" w:rsidRDefault="00E0647E" w:rsidP="00E0647E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Segoe UI"/>
          <w:color w:val="000000"/>
          <w:sz w:val="24"/>
          <w:szCs w:val="24"/>
          <w:lang w:eastAsia="ru-RU"/>
        </w:rPr>
      </w:pPr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первый перечень включено девять ЭТП - восемь универсальных и одна специализированная. К числу универсальных ЭТП были отнесены ЕЭТП, "РТС-тендер", "Сбербанк-АСТ", "Электронные торговые системы", ГУП "Агентство по госзаказу РТ" и "Российский аукционный дом", а также "ТЭК-Торг" и ЭТП ГПБ ("Электронная торговая площадка Газпромбанка" (MOEX: GZPR). Специализированной ЭТП была определена "Автоматизированная система торгов </w:t>
      </w:r>
      <w:proofErr w:type="spell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гособоронзаказа</w:t>
      </w:r>
      <w:proofErr w:type="spell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(АСТ-ГОЗ), которая была создана в прошлом году Сбербанком (MOEX: SBER) и </w:t>
      </w:r>
      <w:proofErr w:type="spell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госкорпорацией</w:t>
      </w:r>
      <w:proofErr w:type="spell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proofErr w:type="spell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Ростех</w:t>
      </w:r>
      <w:proofErr w:type="spell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специально для проведения в электронной форме закупок в рамках </w:t>
      </w:r>
      <w:proofErr w:type="spell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гособоронзаказа</w:t>
      </w:r>
      <w:proofErr w:type="spell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0647E" w:rsidRPr="00E0647E" w:rsidRDefault="00E0647E" w:rsidP="00E0647E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Segoe UI"/>
          <w:color w:val="000000"/>
          <w:sz w:val="24"/>
          <w:szCs w:val="24"/>
          <w:lang w:eastAsia="ru-RU"/>
        </w:rPr>
      </w:pPr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Прежде чем получить доступ к проведению </w:t>
      </w:r>
      <w:proofErr w:type="spell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госзакупок</w:t>
      </w:r>
      <w:proofErr w:type="spell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ЭТП должны доказать свое соответствие ряду требований. К их числу относится опыт проведения </w:t>
      </w:r>
      <w:proofErr w:type="spell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госзакупок</w:t>
      </w:r>
      <w:proofErr w:type="spell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проведение закупок госкомпаний (извещения о них должны были размещаться в ЕИС) общим объемом 2 трлн рублей в период с 1 января 2015 года. При этом уставный капитал таких ЭТП должен составлять не менее 20 млн рублей, а доля иностранных владельцев в уставном капитале не должна превышать 25%. Кроме того, к площадкам предъявлялись определенные технические требования.</w:t>
      </w:r>
    </w:p>
    <w:p w:rsidR="00E0647E" w:rsidRPr="00E0647E" w:rsidRDefault="00E0647E" w:rsidP="00E0647E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Segoe UI"/>
          <w:color w:val="000000"/>
          <w:sz w:val="24"/>
          <w:szCs w:val="24"/>
          <w:lang w:eastAsia="ru-RU"/>
        </w:rPr>
      </w:pPr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с 1 октября начнет действовать ряд нововведений контрактной системы, запуск которых был "привязан" к началу функционирования ЭТП. Речь идет прежде всего о запуске механизма </w:t>
      </w:r>
      <w:proofErr w:type="spell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спецсчетов</w:t>
      </w:r>
      <w:proofErr w:type="spell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размещения средств обеспечения заявок на участие в </w:t>
      </w:r>
      <w:proofErr w:type="spell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госзакупках</w:t>
      </w:r>
      <w:proofErr w:type="spell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Такие счета имеют право открывать банки, включенные в другой правительственный перечень. В него вошли 18 финансовых </w:t>
      </w:r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организаций, в числе которых Сбербанк, ВТБ (MOEX: VTBR), Газпромбанк, Райффайзенбанк, </w:t>
      </w:r>
      <w:proofErr w:type="spell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Россельхозбанк</w:t>
      </w:r>
      <w:proofErr w:type="spell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Совкомбанк</w:t>
      </w:r>
      <w:proofErr w:type="spell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</w:t>
      </w:r>
    </w:p>
    <w:p w:rsidR="00E0647E" w:rsidRPr="00E0647E" w:rsidRDefault="00E0647E" w:rsidP="00E0647E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Segoe UI"/>
          <w:color w:val="000000"/>
          <w:sz w:val="24"/>
          <w:szCs w:val="24"/>
          <w:lang w:eastAsia="ru-RU"/>
        </w:rPr>
      </w:pPr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августе все эти банки подписали с ЭТП соглашения о взаимодействии. Соответственно к октябрю они должны были выполнить работы по организации такого взаимодействия (интеграция информационных систем, передача данных и т.п.). К настоящему времени официально о запуске сервиса по открытию и ведению </w:t>
      </w:r>
      <w:proofErr w:type="spell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спецсчетов</w:t>
      </w:r>
      <w:proofErr w:type="spell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заявил только Сбербанк. Ряд банков уведомил своих клиентов или пользователей ЭТП (площадки, как правило входят в группу того или иного крупного банка - ИФ) о возможности открытия и ведения </w:t>
      </w:r>
      <w:proofErr w:type="spell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спецсчетов</w:t>
      </w:r>
      <w:proofErr w:type="spell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0647E" w:rsidRPr="00E0647E" w:rsidRDefault="00E0647E" w:rsidP="00E0647E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Segoe UI"/>
          <w:color w:val="000000"/>
          <w:sz w:val="24"/>
          <w:szCs w:val="24"/>
          <w:lang w:eastAsia="ru-RU"/>
        </w:rPr>
      </w:pPr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Ранее газета "Коммерсантъ" сообщала, что с 1 октября ряд банков не смогут включиться в работу по открытию и ведению </w:t>
      </w:r>
      <w:proofErr w:type="spell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спецсчетов</w:t>
      </w:r>
      <w:proofErr w:type="spell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поскольку не выполнили в полном объеме работы по организации взаимодействия с ЭТП. Газета сообщала, что в высокой степени готовности к работе со </w:t>
      </w:r>
      <w:proofErr w:type="spell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спецсчетами</w:t>
      </w:r>
      <w:proofErr w:type="spell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находятся Сбербанк, "Россия", "Санкт-Петербург" и ВТБ. Газпромбанк, </w:t>
      </w:r>
      <w:proofErr w:type="spell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Россельхозбанк</w:t>
      </w:r>
      <w:proofErr w:type="spell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Альфа-банк</w:t>
      </w:r>
      <w:proofErr w:type="spell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оказались менее подготовлены, Росбанк (MOEX: ROSB) и РНКБ наладили частичное взаимодействие только с одной площадкой, а </w:t>
      </w:r>
      <w:proofErr w:type="spell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Юникредитбанк</w:t>
      </w:r>
      <w:proofErr w:type="spell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организовал взаимодействия ни с одной ЭТП.</w:t>
      </w:r>
    </w:p>
    <w:p w:rsidR="00E0647E" w:rsidRPr="00E0647E" w:rsidRDefault="00E0647E" w:rsidP="00E0647E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Segoe UI"/>
          <w:color w:val="000000"/>
          <w:sz w:val="24"/>
          <w:szCs w:val="24"/>
          <w:lang w:eastAsia="ru-RU"/>
        </w:rPr>
      </w:pPr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начала июля вступила в силу значительная часть масштабных поправок к законам "О контрактной системе" (44-ФЗ) и "О закупках товаров, работ, услуг отдельными видами юридических лиц" (223-ФЗ), предусматривающая электронизацию закупочных процедур. В том числе, </w:t>
      </w:r>
      <w:proofErr w:type="gram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нормы</w:t>
      </w:r>
      <w:proofErr w:type="gram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определяющие порядок работы механизма </w:t>
      </w:r>
      <w:proofErr w:type="spellStart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спецсчетов</w:t>
      </w:r>
      <w:proofErr w:type="spellEnd"/>
      <w:r w:rsidRPr="00E0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размещения средств обеспечения заявок. Однако действовать эти нормы начнут только после запуска "новых" ЭТП, прошедших названный отбор. До этого момента средства обеспечения заявок на участие в закупках должны размещаться по действующей в настоящее время схеме.</w:t>
      </w:r>
    </w:p>
    <w:p w:rsidR="00DA45B6" w:rsidRDefault="00AC65D9">
      <w:r>
        <w:rPr>
          <w:rStyle w:val="a4"/>
          <w:rFonts w:ascii="Arial" w:hAnsi="Arial" w:cs="Arial"/>
          <w:color w:val="000000"/>
        </w:rPr>
        <w:t xml:space="preserve">Читать первоисточник: </w:t>
      </w:r>
      <w:hyperlink r:id="rId5" w:history="1">
        <w:r>
          <w:rPr>
            <w:rStyle w:val="a3"/>
            <w:rFonts w:ascii="Arial" w:hAnsi="Arial" w:cs="Arial"/>
            <w:b/>
            <w:bCs/>
            <w:color w:val="660099"/>
          </w:rPr>
          <w:t>ИНТЕРФАКС-PROЗАКУПКИ</w:t>
        </w:r>
      </w:hyperlink>
      <w:hyperlink r:id="rId6" w:history="1">
        <w:r>
          <w:rPr>
            <w:rStyle w:val="a3"/>
            <w:rFonts w:ascii="Arial" w:hAnsi="Arial" w:cs="Arial"/>
            <w:b/>
            <w:bCs/>
          </w:rPr>
          <w:t> </w:t>
        </w:r>
      </w:hyperlink>
      <w:r>
        <w:rPr>
          <w:rStyle w:val="a4"/>
          <w:rFonts w:ascii="Arial" w:hAnsi="Arial" w:cs="Arial"/>
          <w:color w:val="000000"/>
        </w:rPr>
        <w:t>(27.09.2018)</w:t>
      </w:r>
    </w:p>
    <w:sectPr w:rsidR="00DA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84D27"/>
    <w:multiLevelType w:val="multilevel"/>
    <w:tmpl w:val="1B48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7E"/>
    <w:rsid w:val="00AC65D9"/>
    <w:rsid w:val="00BE4302"/>
    <w:rsid w:val="00DA45B6"/>
    <w:rsid w:val="00E0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52E97-5EE2-4A6A-8645-439821D8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5D9"/>
    <w:rPr>
      <w:strike w:val="0"/>
      <w:dstrike w:val="0"/>
      <w:color w:val="337AB7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AC6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2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akupki.interfax.ru/articles/1106" TargetMode="External"/><Relationship Id="rId5" Type="http://schemas.openxmlformats.org/officeDocument/2006/relationships/hyperlink" Target="http://prozakupki.interfax.ru/articles/1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Бариева Зухра Хамзиновна</dc:creator>
  <cp:keywords/>
  <dc:description/>
  <cp:lastModifiedBy>Бариева Зухра Хамзиновна</cp:lastModifiedBy>
  <cp:revision>3</cp:revision>
  <dcterms:created xsi:type="dcterms:W3CDTF">2018-10-02T09:08:00Z</dcterms:created>
  <dcterms:modified xsi:type="dcterms:W3CDTF">2018-10-02T09:10:00Z</dcterms:modified>
</cp:coreProperties>
</file>