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51" w:rsidRDefault="00177D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7D51" w:rsidRDefault="00177D51">
      <w:pPr>
        <w:pStyle w:val="ConsPlusNormal"/>
        <w:jc w:val="both"/>
        <w:outlineLvl w:val="0"/>
      </w:pPr>
    </w:p>
    <w:p w:rsidR="00177D51" w:rsidRDefault="00177D5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77D51" w:rsidRDefault="00177D51">
      <w:pPr>
        <w:pStyle w:val="ConsPlusTitle"/>
        <w:jc w:val="center"/>
      </w:pPr>
    </w:p>
    <w:p w:rsidR="00177D51" w:rsidRDefault="00177D51">
      <w:pPr>
        <w:pStyle w:val="ConsPlusTitle"/>
        <w:jc w:val="center"/>
      </w:pPr>
      <w:r>
        <w:t>ПОСТАНОВЛЕНИЕ</w:t>
      </w:r>
    </w:p>
    <w:p w:rsidR="00177D51" w:rsidRDefault="00177D51">
      <w:pPr>
        <w:pStyle w:val="ConsPlusTitle"/>
        <w:jc w:val="center"/>
      </w:pPr>
      <w:r>
        <w:t>от 6 декабря 2019 г. N 466-п</w:t>
      </w:r>
    </w:p>
    <w:p w:rsidR="00177D51" w:rsidRDefault="00177D51">
      <w:pPr>
        <w:pStyle w:val="ConsPlusTitle"/>
        <w:jc w:val="center"/>
      </w:pPr>
    </w:p>
    <w:p w:rsidR="00177D51" w:rsidRDefault="00177D51">
      <w:pPr>
        <w:pStyle w:val="ConsPlusTitle"/>
        <w:jc w:val="center"/>
      </w:pPr>
      <w:r>
        <w:t>ОБ УСТАНОВЛЕНИИ ПРЕДЕЛЬНЫХ РАЗМЕРОВ ПЛАТЫ ЗА ПРОВЕДЕНИЕ</w:t>
      </w:r>
    </w:p>
    <w:p w:rsidR="00177D51" w:rsidRDefault="00177D51">
      <w:pPr>
        <w:pStyle w:val="ConsPlusTitle"/>
        <w:jc w:val="center"/>
      </w:pPr>
      <w:r>
        <w:t>ТЕХНИЧЕСКОГО ОСМОТРА ТРАНСПОРТНЫХ СРЕДСТВ В ХАНТЫ-МАНСИЙСКОМ</w:t>
      </w:r>
    </w:p>
    <w:p w:rsidR="00177D51" w:rsidRDefault="00177D51">
      <w:pPr>
        <w:pStyle w:val="ConsPlusTitle"/>
        <w:jc w:val="center"/>
      </w:pPr>
      <w:r>
        <w:t>АВТОНОМНОМ ОКРУГЕ - ЮГРЕ</w:t>
      </w: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2011 года N 1008 "О проведении технического осмотра транспортных средств",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18 октября 2011 года N 642-а "Об утверждении Методики расчета предельного размера платы за проведение технического осмотра", учитывая решение совместного заседания общественных советов при Региональной службе по тарифам Ханты-Мансийского автономного округа - Югры и Департаменте дорожного хозяйства и транспорта Ханты-Мансийского автономного округа - Югры (протокол заседания от 15 ноября 2019 года), Правительство Ханты-Мансийского автономного округа - Югры постановляет:</w:t>
      </w:r>
    </w:p>
    <w:p w:rsidR="00177D51" w:rsidRDefault="00177D51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0" w:history="1">
        <w:r>
          <w:rPr>
            <w:color w:val="0000FF"/>
          </w:rPr>
          <w:t>размеры</w:t>
        </w:r>
      </w:hyperlink>
      <w:r>
        <w:t xml:space="preserve"> платы за проведение технического осмотра транспортных средств в Ханты-Мансийском автономном округе - Югре согласно приложению к настоящему постановлению.</w:t>
      </w:r>
    </w:p>
    <w:p w:rsidR="00177D51" w:rsidRDefault="00177D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7 декабря 2018 года N 456-п "Об установлении предельных размеров платы за проведение технического осмотра транспортных средств в Ханты-Мансийском автономном округе - Югре".</w:t>
      </w:r>
    </w:p>
    <w:p w:rsidR="00177D51" w:rsidRDefault="00177D5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jc w:val="right"/>
      </w:pPr>
      <w:r>
        <w:t>Губернатор</w:t>
      </w:r>
    </w:p>
    <w:p w:rsidR="00177D51" w:rsidRDefault="00177D51">
      <w:pPr>
        <w:pStyle w:val="ConsPlusNormal"/>
        <w:jc w:val="right"/>
      </w:pPr>
      <w:r>
        <w:t>Ханты-Мансийского</w:t>
      </w:r>
    </w:p>
    <w:p w:rsidR="00177D51" w:rsidRDefault="00177D51">
      <w:pPr>
        <w:pStyle w:val="ConsPlusNormal"/>
        <w:jc w:val="right"/>
      </w:pPr>
      <w:r>
        <w:t>автономного округа - Югры</w:t>
      </w:r>
    </w:p>
    <w:p w:rsidR="00177D51" w:rsidRDefault="00177D51">
      <w:pPr>
        <w:pStyle w:val="ConsPlusNormal"/>
        <w:jc w:val="right"/>
      </w:pPr>
      <w:r>
        <w:t>Н.В.КОМАРОВА</w:t>
      </w: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jc w:val="right"/>
        <w:outlineLvl w:val="0"/>
      </w:pPr>
      <w:r>
        <w:t>Приложение</w:t>
      </w:r>
    </w:p>
    <w:p w:rsidR="00177D51" w:rsidRDefault="00177D51">
      <w:pPr>
        <w:pStyle w:val="ConsPlusNormal"/>
        <w:jc w:val="right"/>
      </w:pPr>
      <w:r>
        <w:t>к постановлению</w:t>
      </w:r>
    </w:p>
    <w:p w:rsidR="00177D51" w:rsidRDefault="00177D51">
      <w:pPr>
        <w:pStyle w:val="ConsPlusNormal"/>
        <w:jc w:val="right"/>
      </w:pPr>
      <w:r>
        <w:t>Правительства Ханты-Мансийского</w:t>
      </w:r>
    </w:p>
    <w:p w:rsidR="00177D51" w:rsidRDefault="00177D51">
      <w:pPr>
        <w:pStyle w:val="ConsPlusNormal"/>
        <w:jc w:val="right"/>
      </w:pPr>
      <w:r>
        <w:t>автономного округа - Югры</w:t>
      </w:r>
    </w:p>
    <w:p w:rsidR="00177D51" w:rsidRDefault="00177D51">
      <w:pPr>
        <w:pStyle w:val="ConsPlusNormal"/>
        <w:jc w:val="right"/>
      </w:pPr>
      <w:r>
        <w:t>от 6 декабря 2019 года N 466-п</w:t>
      </w: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Title"/>
        <w:jc w:val="center"/>
      </w:pPr>
      <w:bookmarkStart w:id="0" w:name="P30"/>
      <w:bookmarkEnd w:id="0"/>
      <w:r>
        <w:t>ПРЕДЕЛЬНЫЕ РАЗМЕРЫ</w:t>
      </w:r>
    </w:p>
    <w:p w:rsidR="00177D51" w:rsidRDefault="00177D51">
      <w:pPr>
        <w:pStyle w:val="ConsPlusTitle"/>
        <w:jc w:val="center"/>
      </w:pPr>
      <w:r>
        <w:t>ПЛАТЫ ЗА ПРОВЕДЕНИЕ ТЕХНИЧЕСКОГО ОСМОТРА ТРАНСПОРТНЫХ</w:t>
      </w:r>
    </w:p>
    <w:p w:rsidR="00177D51" w:rsidRDefault="00177D51">
      <w:pPr>
        <w:pStyle w:val="ConsPlusTitle"/>
        <w:jc w:val="center"/>
      </w:pPr>
      <w:r>
        <w:t>СРЕДСТВ В ХАНТЫ-МАНСИЙСКОМ АВТОНОМНОМ ОКРУГЕ - ЮГРЕ</w:t>
      </w:r>
    </w:p>
    <w:p w:rsidR="00177D51" w:rsidRDefault="00177D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66"/>
        <w:gridCol w:w="1520"/>
      </w:tblGrid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 xml:space="preserve">Размер платы, </w:t>
            </w:r>
            <w:r>
              <w:lastRenderedPageBreak/>
              <w:t xml:space="preserve">руб. </w:t>
            </w:r>
            <w:hyperlink w:anchor="P1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используемые для перевозки пассажиров и имеющие, помимо места водителя, не более 8 мест для сидения, - легковые автомобили)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634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1246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1521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не более 3,5 тонн)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676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свыше 3,5 тонн, но не более 12 тонн)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1331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более 12 тонн)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1436</w:t>
            </w:r>
          </w:p>
        </w:tc>
      </w:tr>
      <w:tr w:rsidR="00177D51">
        <w:tc>
          <w:tcPr>
            <w:tcW w:w="624" w:type="dxa"/>
            <w:vMerge w:val="restart"/>
          </w:tcPr>
          <w:p w:rsidR="00177D51" w:rsidRDefault="00177D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О 1 (прицепы (полуприцепы), технически допустимая максимальная масса которых не более 0,75 тонн)</w:t>
            </w:r>
          </w:p>
        </w:tc>
        <w:tc>
          <w:tcPr>
            <w:tcW w:w="1520" w:type="dxa"/>
            <w:vMerge w:val="restart"/>
          </w:tcPr>
          <w:p w:rsidR="00177D51" w:rsidRDefault="00177D51">
            <w:pPr>
              <w:pStyle w:val="ConsPlusNormal"/>
              <w:jc w:val="center"/>
            </w:pPr>
            <w:r>
              <w:t>528</w:t>
            </w:r>
          </w:p>
        </w:tc>
      </w:tr>
      <w:tr w:rsidR="00177D51">
        <w:tc>
          <w:tcPr>
            <w:tcW w:w="624" w:type="dxa"/>
            <w:vMerge/>
          </w:tcPr>
          <w:p w:rsidR="00177D51" w:rsidRDefault="00177D51"/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О2 (прицепы (полуприцепы), технически допустимая максимальная масса которых свыше 0,75 тонн, но не более 3,5 тонн)</w:t>
            </w:r>
          </w:p>
        </w:tc>
        <w:tc>
          <w:tcPr>
            <w:tcW w:w="1520" w:type="dxa"/>
            <w:vMerge/>
          </w:tcPr>
          <w:p w:rsidR="00177D51" w:rsidRDefault="00177D51"/>
        </w:tc>
      </w:tr>
      <w:tr w:rsidR="00177D51">
        <w:tc>
          <w:tcPr>
            <w:tcW w:w="624" w:type="dxa"/>
            <w:vMerge w:val="restart"/>
          </w:tcPr>
          <w:p w:rsidR="00177D51" w:rsidRDefault="00177D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О 3 (прицепы (полуприцепы), технически допустимая максимальная масса которых свыше 3,5 тонн, но не более 10 тонн)</w:t>
            </w:r>
          </w:p>
        </w:tc>
        <w:tc>
          <w:tcPr>
            <w:tcW w:w="1520" w:type="dxa"/>
            <w:vMerge w:val="restart"/>
          </w:tcPr>
          <w:p w:rsidR="00177D51" w:rsidRDefault="00177D51">
            <w:pPr>
              <w:pStyle w:val="ConsPlusNormal"/>
              <w:jc w:val="center"/>
            </w:pPr>
            <w:r>
              <w:t>929</w:t>
            </w:r>
          </w:p>
        </w:tc>
      </w:tr>
      <w:tr w:rsidR="00177D51">
        <w:tc>
          <w:tcPr>
            <w:tcW w:w="624" w:type="dxa"/>
            <w:vMerge/>
          </w:tcPr>
          <w:p w:rsidR="00177D51" w:rsidRDefault="00177D51"/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О 4 (прицепы (полуприцепы), технически допустимая максимальная масса которых более 10 тонн)</w:t>
            </w:r>
          </w:p>
        </w:tc>
        <w:tc>
          <w:tcPr>
            <w:tcW w:w="1520" w:type="dxa"/>
            <w:vMerge/>
          </w:tcPr>
          <w:p w:rsidR="00177D51" w:rsidRDefault="00177D51"/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L (мототранспортные средства)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211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М1)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676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М2)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1246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М3)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1436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 xml:space="preserve">Специальные транспортные средства оперативных служб (на базе N 1), транспортные средства - цистерны (на базе N 1), транспортные средства - цистерны для перевозки и заправки сжиженных углеводородных газов (на базе N 1), транспортные средства - фургоны (на базе N 1), транспортные средства - фургоны, имеющие </w:t>
            </w:r>
            <w:r>
              <w:lastRenderedPageBreak/>
              <w:t>места для перевозки людей (на базе N 1), автоэвакуаторы (на базе N 1)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lastRenderedPageBreak/>
              <w:t>718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N 2), автоэвакуаторы (на базе N 2), транспортные средства с грузоподъемными устройствами (на базе N 2), транспортные средства - цистерны (на базе N 2), транспортные средства - цистерны для перевозки и заправки сжиженных углеводородных газов (на базе N 2), транспортные средства - фургоны (на базе N 2), транспортные средства - цистерны (на базе N 2), транспортные средства для перевозки пищевых продуктов (на базе N 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1394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N 3), автоэвакуаторы (на базе N 3), транспортные средства с грузоподъемными устройствами (на базе N 3), транспортные средства - цистерны (на базе N 3), транспортные средства - цистерны для перевозки и заправки сжиженных углеводородных газов (на базе N 3), транспортные средства - фургоны (на базе N 3), транспортные средства для перевозки пищевых продуктов (на базе N 3)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1500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О1, О2), транспортные средства - цистерны (на базе О1, О2), транспортные средства - цистерны для перевозки и заправки сжиженных углеводородных газов (на базе О1, О2), транспортные средства -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549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О3, О4), автоэвакуаторы (на базе О3, О4), транспортные средства с грузоподъемными устройствами (на базе О3, О4), транспортные средства - цистерны (на базе О3, О4), транспортные средства - цистерны для перевозки и заправки сжиженных углеводородных газов (на базе О3, О4), транспортные средства -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972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232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Специализированные транспортные средства (на базе N 1), транспортные средства - цистерны для перевозки и заправки нефтепродуктов (на базе N 1)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782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Специализированные транспортные средства (на базе N 2), транспортные средства - цистерны для перевозки и заправки нефтепродуктов (на базе N 2), транспортные средства - фургоны, имеющие места для перевозки людей (на базе N 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1521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Специализированные транспортные средства (на базе N 3), транспортные средства - фургоны, имеющие места для перевозки людей (на базе N 3), транспортные средства - цистерны для перевозки и заправки нефтепродуктов (на базе N 3)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1648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Специализированные транспортные средства (на базе О1, О2)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613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Специализированные транспортные средства (на базе О3, О4)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1077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1)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739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2), транспортные средства для перевозки грузов с использованием прицепа-роспуска (на базе N 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1458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3), транспортные средства для перевозки грузов с использованием прицепа-роспуска (на базе N 3)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1584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591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1014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Транспортные средства для перевозки опасных грузов (на базе N 1)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887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Транспортные средства для перевозки опасных грузов (на базе N 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1732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Транспортные средства для перевозки опасных грузов (на базе N 3)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1859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Транспортные средства для перевозки опасных грузов (на базе О1, О2)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634</w:t>
            </w:r>
          </w:p>
        </w:tc>
      </w:tr>
      <w:tr w:rsidR="00177D51">
        <w:tc>
          <w:tcPr>
            <w:tcW w:w="624" w:type="dxa"/>
          </w:tcPr>
          <w:p w:rsidR="00177D51" w:rsidRDefault="00177D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66" w:type="dxa"/>
          </w:tcPr>
          <w:p w:rsidR="00177D51" w:rsidRDefault="00177D51">
            <w:pPr>
              <w:pStyle w:val="ConsPlusNormal"/>
            </w:pPr>
            <w:r>
              <w:t>Транспортные средства для перевозки опасных грузов (на базе О3, О4)</w:t>
            </w:r>
          </w:p>
        </w:tc>
        <w:tc>
          <w:tcPr>
            <w:tcW w:w="1520" w:type="dxa"/>
          </w:tcPr>
          <w:p w:rsidR="00177D51" w:rsidRDefault="00177D51">
            <w:pPr>
              <w:pStyle w:val="ConsPlusNormal"/>
              <w:jc w:val="center"/>
            </w:pPr>
            <w:r>
              <w:t>1120</w:t>
            </w:r>
          </w:p>
        </w:tc>
      </w:tr>
    </w:tbl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ind w:firstLine="540"/>
        <w:jc w:val="both"/>
      </w:pPr>
      <w:r>
        <w:t>--------------------------------</w:t>
      </w:r>
    </w:p>
    <w:p w:rsidR="00177D51" w:rsidRDefault="00177D51">
      <w:pPr>
        <w:pStyle w:val="ConsPlusNormal"/>
        <w:spacing w:before="220"/>
        <w:ind w:firstLine="540"/>
        <w:jc w:val="both"/>
      </w:pPr>
      <w:bookmarkStart w:id="1" w:name="P140"/>
      <w:bookmarkEnd w:id="1"/>
      <w:r>
        <w:t xml:space="preserve">&lt;*&gt; Категории транспортных средств соответствуют </w:t>
      </w:r>
      <w:hyperlink r:id="rId9" w:history="1">
        <w:r>
          <w:rPr>
            <w:color w:val="0000FF"/>
          </w:rPr>
          <w:t>классификации</w:t>
        </w:r>
      </w:hyperlink>
      <w:r>
        <w:t>, установленной в приложении N 1 к техническому регламенту Таможенного союза "О безопасности колесных транспортных средств" (ТР ТС 018/2011).</w:t>
      </w:r>
    </w:p>
    <w:p w:rsidR="00177D51" w:rsidRDefault="00177D51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&lt;**&gt; Не подлежит налогообложению налогом на добавленную стоимость в соответствии со </w:t>
      </w:r>
      <w:hyperlink r:id="rId10" w:history="1">
        <w:r>
          <w:rPr>
            <w:color w:val="0000FF"/>
          </w:rPr>
          <w:t>статьей 149</w:t>
        </w:r>
      </w:hyperlink>
      <w:r>
        <w:t xml:space="preserve"> Налогового кодекса Российской Федерации.</w:t>
      </w: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jc w:val="both"/>
      </w:pPr>
    </w:p>
    <w:p w:rsidR="00177D51" w:rsidRDefault="00177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864" w:rsidRDefault="006A7864">
      <w:bookmarkStart w:id="3" w:name="_GoBack"/>
      <w:bookmarkEnd w:id="3"/>
    </w:p>
    <w:sectPr w:rsidR="006A7864" w:rsidSect="000C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1"/>
    <w:rsid w:val="00177D51"/>
    <w:rsid w:val="006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9681-A68E-434D-9106-379AB7F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346B4C7670AD7160D6C7D83A5A51614BCE3C12977BD6419E28A217BA1A1C456921B39B928F4638422686424BAA7A4A3N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69346B4C7670AD71613616BEFF2AA111BE3E9C3237FED3B45E4DD7E2BA7F48416944E68FD7DF8648E6839216FB5A5A72BE3FFAD7A8CE3A5N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69346B4C7670AD71613616BEFF2AA131CE6E9C1297FED3B45E4DD7E2BA7F48416944E68FD7CF0678E6839216FB5A5A72BE3FFAD7A8CE3A5N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669346B4C7670AD71613616BEFF2AA131DE6EEC1247FED3B45E4DD7E2BA7F48416944E6FF629A825D0316A6424B8A6B837E3FCABN3G" TargetMode="External"/><Relationship Id="rId10" Type="http://schemas.openxmlformats.org/officeDocument/2006/relationships/hyperlink" Target="consultantplus://offline/ref=B2669346B4C7670AD71613616BEFF2AA131DE4E8C9257FED3B45E4DD7E2BA7F48416944E68FD7DF1618E6839216FB5A5A72BE3FFAD7A8CE3A5N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669346B4C7670AD71613616BEFF2AA131DE5EBC8227FED3B45E4DD7E2BA7F48416944E68FD7BF9618E6839216FB5A5A72BE3FFAD7A8CE3A5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2020-01-21T06:12:00Z</dcterms:created>
  <dcterms:modified xsi:type="dcterms:W3CDTF">2020-01-21T06:13:00Z</dcterms:modified>
</cp:coreProperties>
</file>