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D51" w:rsidRDefault="00177D5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77D51" w:rsidRDefault="00177D51">
      <w:pPr>
        <w:pStyle w:val="ConsPlusNormal"/>
        <w:jc w:val="both"/>
        <w:outlineLvl w:val="0"/>
      </w:pPr>
    </w:p>
    <w:p w:rsidR="00177D51" w:rsidRDefault="00177D51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177D51" w:rsidRDefault="00177D51">
      <w:pPr>
        <w:pStyle w:val="ConsPlusTitle"/>
        <w:jc w:val="center"/>
      </w:pPr>
    </w:p>
    <w:p w:rsidR="00177D51" w:rsidRDefault="00177D51">
      <w:pPr>
        <w:pStyle w:val="ConsPlusTitle"/>
        <w:jc w:val="center"/>
      </w:pPr>
      <w:r>
        <w:t>ПОСТАНОВЛЕНИЕ</w:t>
      </w:r>
    </w:p>
    <w:p w:rsidR="00177D51" w:rsidRDefault="00177D51">
      <w:pPr>
        <w:pStyle w:val="ConsPlusTitle"/>
        <w:jc w:val="center"/>
      </w:pPr>
      <w:r>
        <w:t>от 6 декабря 2019 г. N 466-п</w:t>
      </w:r>
    </w:p>
    <w:p w:rsidR="00177D51" w:rsidRDefault="00177D51">
      <w:pPr>
        <w:pStyle w:val="ConsPlusTitle"/>
        <w:jc w:val="center"/>
      </w:pPr>
    </w:p>
    <w:p w:rsidR="00177D51" w:rsidRDefault="00177D51">
      <w:pPr>
        <w:pStyle w:val="ConsPlusTitle"/>
        <w:jc w:val="center"/>
      </w:pPr>
      <w:r>
        <w:t>ОБ УСТАНОВЛЕНИИ ПРЕДЕЛЬНЫХ РАЗМЕРОВ ПЛАТЫ ЗА ПРОВЕДЕНИЕ</w:t>
      </w:r>
    </w:p>
    <w:p w:rsidR="00177D51" w:rsidRDefault="00177D51">
      <w:pPr>
        <w:pStyle w:val="ConsPlusTitle"/>
        <w:jc w:val="center"/>
      </w:pPr>
      <w:r>
        <w:t>ТЕХНИЧЕСКОГО ОСМОТРА ТРАНСПОРТНЫХ СРЕДСТВ В ХАНТЫ-МАНСИЙСКОМ</w:t>
      </w:r>
    </w:p>
    <w:p w:rsidR="00177D51" w:rsidRDefault="00177D51">
      <w:pPr>
        <w:pStyle w:val="ConsPlusTitle"/>
        <w:jc w:val="center"/>
      </w:pPr>
      <w:r>
        <w:t>АВТОНОМНОМ ОКРУГЕ - ЮГРЕ</w:t>
      </w: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1 июля 2011 года N 170-ФЗ "О техническом осмотре транспортных средств и о внесении изменений в отдельные законодательные акты Российской Федерации",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декабря 2011 года N 1008 "О проведении технического осмотра транспортных средств", </w:t>
      </w:r>
      <w:hyperlink r:id="rId7" w:history="1">
        <w:r>
          <w:rPr>
            <w:color w:val="0000FF"/>
          </w:rPr>
          <w:t>приказом</w:t>
        </w:r>
      </w:hyperlink>
      <w:r>
        <w:t xml:space="preserve"> Федеральной службы по тарифам от 18 октября 2011 года N 642-а "Об утверждении Методики расчета предельного размера платы за проведение технического осмотра", учитывая решение совместного заседания общественных советов при Региональной службе по тарифам Ханты-Мансийского автономного округа - Югры и Департаменте дорожного хозяйства и транспорта Ханты-Мансийского автономного округа - Югры (протокол заседания от 15 ноября 2019 года), Правительство Ханты-Мансийского автономного округа - Югры постановляет:</w:t>
      </w:r>
    </w:p>
    <w:p w:rsidR="00177D51" w:rsidRDefault="00177D51">
      <w:pPr>
        <w:pStyle w:val="ConsPlusNormal"/>
        <w:spacing w:before="220"/>
        <w:ind w:firstLine="540"/>
        <w:jc w:val="both"/>
      </w:pPr>
      <w:r>
        <w:t xml:space="preserve">1. Установить предельные </w:t>
      </w:r>
      <w:hyperlink w:anchor="P30" w:history="1">
        <w:r>
          <w:rPr>
            <w:color w:val="0000FF"/>
          </w:rPr>
          <w:t>размеры</w:t>
        </w:r>
      </w:hyperlink>
      <w:r>
        <w:t xml:space="preserve"> платы за проведение технического осмотра транспортных средств в Ханты-Мансийском автономном округе - Югре согласно приложению к настоящему постановлению.</w:t>
      </w:r>
    </w:p>
    <w:p w:rsidR="00177D51" w:rsidRDefault="00177D51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Ханты-Мансийского автономного округа - Югры от 7 декабря 2018 года N 456-п "Об установлении предельных размеров платы за проведение технического осмотра транспортных средств в Ханты-Мансийском автономном округе - Югре".</w:t>
      </w:r>
    </w:p>
    <w:p w:rsidR="00177D51" w:rsidRDefault="00177D51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2020 года.</w:t>
      </w: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jc w:val="right"/>
      </w:pPr>
      <w:r>
        <w:t>Губернатор</w:t>
      </w:r>
    </w:p>
    <w:p w:rsidR="00177D51" w:rsidRDefault="00177D51">
      <w:pPr>
        <w:pStyle w:val="ConsPlusNormal"/>
        <w:jc w:val="right"/>
      </w:pPr>
      <w:r>
        <w:t>Ханты-Мансийского</w:t>
      </w:r>
    </w:p>
    <w:p w:rsidR="00177D51" w:rsidRDefault="00177D51">
      <w:pPr>
        <w:pStyle w:val="ConsPlusNormal"/>
        <w:jc w:val="right"/>
      </w:pPr>
      <w:r>
        <w:t>автономного округа - Югры</w:t>
      </w:r>
    </w:p>
    <w:p w:rsidR="00177D51" w:rsidRDefault="00177D51">
      <w:pPr>
        <w:pStyle w:val="ConsPlusNormal"/>
        <w:jc w:val="right"/>
      </w:pPr>
      <w:r>
        <w:t>Н.В.КОМАРОВА</w:t>
      </w: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jc w:val="right"/>
        <w:outlineLvl w:val="0"/>
      </w:pPr>
      <w:r>
        <w:t>Приложение</w:t>
      </w:r>
    </w:p>
    <w:p w:rsidR="00177D51" w:rsidRDefault="00177D51">
      <w:pPr>
        <w:pStyle w:val="ConsPlusNormal"/>
        <w:jc w:val="right"/>
      </w:pPr>
      <w:r>
        <w:t>к постановлению</w:t>
      </w:r>
    </w:p>
    <w:p w:rsidR="00177D51" w:rsidRDefault="00177D51">
      <w:pPr>
        <w:pStyle w:val="ConsPlusNormal"/>
        <w:jc w:val="right"/>
      </w:pPr>
      <w:r>
        <w:t>Правительства Ханты-Мансийского</w:t>
      </w:r>
    </w:p>
    <w:p w:rsidR="00177D51" w:rsidRDefault="00177D51">
      <w:pPr>
        <w:pStyle w:val="ConsPlusNormal"/>
        <w:jc w:val="right"/>
      </w:pPr>
      <w:r>
        <w:t>автономного округа - Югры</w:t>
      </w:r>
    </w:p>
    <w:p w:rsidR="00177D51" w:rsidRDefault="00177D51">
      <w:pPr>
        <w:pStyle w:val="ConsPlusNormal"/>
        <w:jc w:val="right"/>
      </w:pPr>
      <w:r>
        <w:t>от 6 декабря 2019 года N 466-п</w:t>
      </w: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Title"/>
        <w:jc w:val="center"/>
      </w:pPr>
      <w:bookmarkStart w:id="0" w:name="P30"/>
      <w:bookmarkEnd w:id="0"/>
      <w:r>
        <w:t>ПРЕДЕЛЬНЫЕ РАЗМЕРЫ</w:t>
      </w:r>
    </w:p>
    <w:p w:rsidR="00177D51" w:rsidRDefault="00177D51">
      <w:pPr>
        <w:pStyle w:val="ConsPlusTitle"/>
        <w:jc w:val="center"/>
      </w:pPr>
      <w:r>
        <w:t>ПЛАТЫ ЗА ПРОВЕДЕНИЕ ТЕХНИЧЕСКОГО ОСМОТРА ТРАНСПОРТНЫХ</w:t>
      </w:r>
    </w:p>
    <w:p w:rsidR="00177D51" w:rsidRDefault="00177D51">
      <w:pPr>
        <w:pStyle w:val="ConsPlusTitle"/>
        <w:jc w:val="center"/>
      </w:pPr>
      <w:r>
        <w:t>СРЕДСТВ В ХАНТЫ-МАНСИЙСКОМ АВТОНОМНОМ ОКРУГЕ - ЮГРЕ</w:t>
      </w:r>
    </w:p>
    <w:p w:rsidR="00177D51" w:rsidRDefault="00177D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666"/>
        <w:gridCol w:w="1520"/>
      </w:tblGrid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  <w:jc w:val="center"/>
            </w:pPr>
            <w:r>
              <w:t xml:space="preserve">Категории транспортных средств </w:t>
            </w:r>
            <w:hyperlink w:anchor="P14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 xml:space="preserve">Размер платы, </w:t>
            </w:r>
            <w:r>
              <w:lastRenderedPageBreak/>
              <w:t xml:space="preserve">руб. </w:t>
            </w:r>
            <w:hyperlink w:anchor="P14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М</w:t>
            </w:r>
            <w:r>
              <w:rPr>
                <w:vertAlign w:val="subscript"/>
              </w:rPr>
              <w:t>1</w:t>
            </w:r>
            <w:r>
              <w:t xml:space="preserve"> (транспортные средства, используемые для перевозки пассажиров и имеющие, помимо места водителя, не более 8 мест для сидения, - легковые автомобили)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634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М</w:t>
            </w:r>
            <w:r>
              <w:rPr>
                <w:vertAlign w:val="subscript"/>
              </w:rPr>
              <w:t>2</w:t>
            </w:r>
            <w:r>
              <w:t xml:space="preserve"> (транспортные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не превышает 5 тонн)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1246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М</w:t>
            </w:r>
            <w:r>
              <w:rPr>
                <w:vertAlign w:val="subscript"/>
              </w:rPr>
              <w:t>3</w:t>
            </w:r>
            <w:r>
              <w:t xml:space="preserve"> (транспортные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превышает 5 тонн)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1521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N</w:t>
            </w:r>
            <w:r>
              <w:rPr>
                <w:vertAlign w:val="subscript"/>
              </w:rPr>
              <w:t>1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не более 3,5 тонн)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676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свыше 3,5 тонн, но не более 12 тонн)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1331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N</w:t>
            </w:r>
            <w:r>
              <w:rPr>
                <w:vertAlign w:val="subscript"/>
              </w:rPr>
              <w:t>3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более 12 тонн)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1436</w:t>
            </w:r>
          </w:p>
        </w:tc>
      </w:tr>
      <w:tr w:rsidR="00177D51">
        <w:tc>
          <w:tcPr>
            <w:tcW w:w="624" w:type="dxa"/>
            <w:vMerge w:val="restart"/>
          </w:tcPr>
          <w:p w:rsidR="00177D51" w:rsidRDefault="00177D5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О 1 (прицепы (полуприцепы), технически допустимая максимальная масса которых не более 0,75 тонн)</w:t>
            </w:r>
          </w:p>
        </w:tc>
        <w:tc>
          <w:tcPr>
            <w:tcW w:w="1520" w:type="dxa"/>
            <w:vMerge w:val="restart"/>
          </w:tcPr>
          <w:p w:rsidR="00177D51" w:rsidRDefault="00177D51">
            <w:pPr>
              <w:pStyle w:val="ConsPlusNormal"/>
              <w:jc w:val="center"/>
            </w:pPr>
            <w:r>
              <w:t>528</w:t>
            </w:r>
          </w:p>
        </w:tc>
      </w:tr>
      <w:tr w:rsidR="00177D51">
        <w:tc>
          <w:tcPr>
            <w:tcW w:w="624" w:type="dxa"/>
            <w:vMerge/>
          </w:tcPr>
          <w:p w:rsidR="00177D51" w:rsidRDefault="00177D51"/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О2 (прицепы (полуприцепы), технически допустимая максимальная масса которых свыше 0,75 тонн, но не более 3,5 тонн)</w:t>
            </w:r>
          </w:p>
        </w:tc>
        <w:tc>
          <w:tcPr>
            <w:tcW w:w="1520" w:type="dxa"/>
            <w:vMerge/>
          </w:tcPr>
          <w:p w:rsidR="00177D51" w:rsidRDefault="00177D51"/>
        </w:tc>
      </w:tr>
      <w:tr w:rsidR="00177D51">
        <w:tc>
          <w:tcPr>
            <w:tcW w:w="624" w:type="dxa"/>
            <w:vMerge w:val="restart"/>
          </w:tcPr>
          <w:p w:rsidR="00177D51" w:rsidRDefault="00177D5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О 3 (прицепы (полуприцепы), технически допустимая максимальная масса которых свыше 3,5 тонн, но не более 10 тонн)</w:t>
            </w:r>
          </w:p>
        </w:tc>
        <w:tc>
          <w:tcPr>
            <w:tcW w:w="1520" w:type="dxa"/>
            <w:vMerge w:val="restart"/>
          </w:tcPr>
          <w:p w:rsidR="00177D51" w:rsidRDefault="00177D51">
            <w:pPr>
              <w:pStyle w:val="ConsPlusNormal"/>
              <w:jc w:val="center"/>
            </w:pPr>
            <w:r>
              <w:t>929</w:t>
            </w:r>
          </w:p>
        </w:tc>
      </w:tr>
      <w:tr w:rsidR="00177D51">
        <w:tc>
          <w:tcPr>
            <w:tcW w:w="624" w:type="dxa"/>
            <w:vMerge/>
          </w:tcPr>
          <w:p w:rsidR="00177D51" w:rsidRDefault="00177D51"/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О 4 (прицепы (полуприцепы), технически допустимая максимальная масса которых более 10 тонн)</w:t>
            </w:r>
          </w:p>
        </w:tc>
        <w:tc>
          <w:tcPr>
            <w:tcW w:w="1520" w:type="dxa"/>
            <w:vMerge/>
          </w:tcPr>
          <w:p w:rsidR="00177D51" w:rsidRDefault="00177D51"/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L (мототранспортные средства)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211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оперативных служб (на базе М1)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676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оперативных служб (на базе М2)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1246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оперативных служб (на базе М3)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1436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 xml:space="preserve">Специальные транспортные средства оперативных служб (на базе N 1), транспортные средства - цистерны (на базе N 1), транспортные средства - цистерны для перевозки и заправки сжиженных углеводородных газов (на базе N 1), транспортные средства - фургоны (на базе N 1), транспортные средства - фургоны, имеющие </w:t>
            </w:r>
            <w:r>
              <w:lastRenderedPageBreak/>
              <w:t>места для перевозки людей (на базе N 1), автоэвакуаторы (на базе N 1)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lastRenderedPageBreak/>
              <w:t>718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оперативных служб (на базе N 2), автоэвакуаторы (на базе N 2), транспортные средства с грузоподъемными устройствами (на базе N 2), транспортные средства - цистерны (на базе N 2), транспортные средства - цистерны для перевозки и заправки сжиженных углеводородных газов (на базе N 2), транспортные средства - фургоны (на базе N 2), транспортные средства - цистерны (на базе N 2), транспортные средства для перевозки пищевых продуктов (на базе N 2)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1394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оперативных служб (на базе N 3), автоэвакуаторы (на базе N 3), транспортные средства с грузоподъемными устройствами (на базе N 3), транспортные средства - цистерны (на базе N 3), транспортные средства - цистерны для перевозки и заправки сжиженных углеводородных газов (на базе N 3), транспортные средства - фургоны (на базе N 3), транспортные средства для перевозки пищевых продуктов (на базе N 3)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1500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оперативных служб (на базе О1, О2), транспортные средства - цистерны (на базе О1, О2), транспортные средства - цистерны для перевозки и заправки сжиженных углеводородных газов (на базе О1, О2), транспортные средства - фургоны (на базе О1, О2), транспортные средства для перевозки пищевых продуктов (на базе О1, О2)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549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оперативных служб (на базе О3, О4), автоэвакуаторы (на базе О3, О4), транспортные средства с грузоподъемными устройствами (на базе О3, О4), транспортные средства - цистерны (на базе О3, О4), транспортные средства - цистерны для перевозки и заправки сжиженных углеводородных газов (на базе О3, О4), транспортные средства - фургоны (на базе О3, О4), транспортные средства для перевозки пищевых продуктов (на базе О3, О4)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972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оперативных служб (на базе L)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232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Специализированные транспортные средства (на базе N 1), транспортные средства - цистерны для перевозки и заправки нефтепродуктов (на базе N 1)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782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Специализированные транспортные средства (на базе N 2), транспортные средства - цистерны для перевозки и заправки нефтепродуктов (на базе N 2), транспортные средства - фургоны, имеющие места для перевозки людей (на базе N 2)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1521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Специализированные транспортные средства (на базе N 3), транспортные средства - фургоны, имеющие места для перевозки людей (на базе N 3), транспортные средства - цистерны для перевозки и заправки нефтепродуктов (на базе N 3)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1648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Специализированные транспортные средства (на базе О1, О2)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613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Специализированные транспортные средства (на базе О3, О4)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1077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N 1)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739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N 2), транспортные средства для перевозки грузов с использованием прицепа-роспуска (на базе N 2)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1458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N 3), транспортные средства для перевозки грузов с использованием прицепа-роспуска (на базе N 3)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1584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О1, О2), транспортные средства - цистерны для перевозки и заправки нефтепродуктов (на базе О1, О2)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591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О3, О4), транспортные средства - цистерны для перевозки и заправки нефтепродуктов (на базе О3, О4)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1014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Транспортные средства для перевозки опасных грузов (на базе N 1)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887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Транспортные средства для перевозки опасных грузов (на базе N 2)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1732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Транспортные средства для перевозки опасных грузов (на базе N 3)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1859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Транспортные средства для перевозки опасных грузов (на базе О1, О2)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634</w:t>
            </w:r>
          </w:p>
        </w:tc>
      </w:tr>
      <w:tr w:rsidR="00177D51">
        <w:tc>
          <w:tcPr>
            <w:tcW w:w="624" w:type="dxa"/>
          </w:tcPr>
          <w:p w:rsidR="00177D51" w:rsidRDefault="00177D51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666" w:type="dxa"/>
          </w:tcPr>
          <w:p w:rsidR="00177D51" w:rsidRDefault="00177D51">
            <w:pPr>
              <w:pStyle w:val="ConsPlusNormal"/>
            </w:pPr>
            <w:r>
              <w:t>Транспортные средства для перевозки опасных грузов (на базе О3, О4)</w:t>
            </w:r>
          </w:p>
        </w:tc>
        <w:tc>
          <w:tcPr>
            <w:tcW w:w="1520" w:type="dxa"/>
          </w:tcPr>
          <w:p w:rsidR="00177D51" w:rsidRDefault="00177D51">
            <w:pPr>
              <w:pStyle w:val="ConsPlusNormal"/>
              <w:jc w:val="center"/>
            </w:pPr>
            <w:r>
              <w:t>1120</w:t>
            </w:r>
          </w:p>
        </w:tc>
      </w:tr>
    </w:tbl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ind w:firstLine="540"/>
        <w:jc w:val="both"/>
      </w:pPr>
      <w:r>
        <w:t>--------------------------------</w:t>
      </w:r>
    </w:p>
    <w:p w:rsidR="00177D51" w:rsidRDefault="00177D51">
      <w:pPr>
        <w:pStyle w:val="ConsPlusNormal"/>
        <w:spacing w:before="220"/>
        <w:ind w:firstLine="540"/>
        <w:jc w:val="both"/>
      </w:pPr>
      <w:bookmarkStart w:id="1" w:name="P140"/>
      <w:bookmarkEnd w:id="1"/>
      <w:r>
        <w:t xml:space="preserve">&lt;*&gt; Категории транспортных средств соответствуют </w:t>
      </w:r>
      <w:hyperlink r:id="rId9" w:history="1">
        <w:r>
          <w:rPr>
            <w:color w:val="0000FF"/>
          </w:rPr>
          <w:t>классификации</w:t>
        </w:r>
      </w:hyperlink>
      <w:r>
        <w:t>, установленной в приложении N 1 к техническому регламенту Таможенного союза "О безопасности колесных транспортных средств" (ТР ТС 018/2011).</w:t>
      </w:r>
    </w:p>
    <w:p w:rsidR="00177D51" w:rsidRDefault="00177D51">
      <w:pPr>
        <w:pStyle w:val="ConsPlusNormal"/>
        <w:spacing w:before="220"/>
        <w:ind w:firstLine="540"/>
        <w:jc w:val="both"/>
      </w:pPr>
      <w:bookmarkStart w:id="2" w:name="P141"/>
      <w:bookmarkEnd w:id="2"/>
      <w:r>
        <w:t xml:space="preserve">&lt;**&gt; Не подлежит налогообложению налогом на добавленную стоимость в соответствии со </w:t>
      </w:r>
      <w:hyperlink r:id="rId10" w:history="1">
        <w:r>
          <w:rPr>
            <w:color w:val="0000FF"/>
          </w:rPr>
          <w:t>статьей 149</w:t>
        </w:r>
      </w:hyperlink>
      <w:r>
        <w:t xml:space="preserve"> Налогового кодекса Российской Федерации.</w:t>
      </w: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jc w:val="both"/>
      </w:pPr>
    </w:p>
    <w:p w:rsidR="00177D51" w:rsidRDefault="00177D5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A7864" w:rsidRDefault="006A7864">
      <w:bookmarkStart w:id="3" w:name="_GoBack"/>
      <w:bookmarkEnd w:id="3"/>
    </w:p>
    <w:sectPr w:rsidR="006A7864" w:rsidSect="000C4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D51"/>
    <w:rsid w:val="00177D51"/>
    <w:rsid w:val="006A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C9681-A68E-434D-9106-379AB7FF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7D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7D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7D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669346B4C7670AD7160D6C7D83A5A51614BCE3C12977BD6419E28A217BA1A1C456921B39B928F4638422686424BAA7A4A3N5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2669346B4C7670AD71613616BEFF2AA111BE3E9C3237FED3B45E4DD7E2BA7F48416944E68FD7DF8648E6839216FB5A5A72BE3FFAD7A8CE3A5N3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669346B4C7670AD71613616BEFF2AA131CE6E9C1297FED3B45E4DD7E2BA7F48416944E68FD7CF0678E6839216FB5A5A72BE3FFAD7A8CE3A5N3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B2669346B4C7670AD71613616BEFF2AA131DE6EEC1247FED3B45E4DD7E2BA7F48416944E6FF629A825D0316A6424B8A6B837E3FCABN3G" TargetMode="External"/><Relationship Id="rId10" Type="http://schemas.openxmlformats.org/officeDocument/2006/relationships/hyperlink" Target="consultantplus://offline/ref=B2669346B4C7670AD71613616BEFF2AA131DE4E8C9257FED3B45E4DD7E2BA7F48416944E68FD7DF1618E6839216FB5A5A72BE3FFAD7A8CE3A5N3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2669346B4C7670AD71613616BEFF2AA131DE5EBC8227FED3B45E4DD7E2BA7F48416944E68FD7BF9618E6839216FB5A5A72BE3FFAD7A8CE3A5N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1407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1</cp:revision>
  <dcterms:created xsi:type="dcterms:W3CDTF">2020-01-21T06:12:00Z</dcterms:created>
  <dcterms:modified xsi:type="dcterms:W3CDTF">2020-01-21T06:13:00Z</dcterms:modified>
</cp:coreProperties>
</file>