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20" w:rsidRDefault="007D0120">
      <w:pPr>
        <w:pStyle w:val="ConsPlusTitlePage"/>
      </w:pPr>
      <w:r>
        <w:t xml:space="preserve">Документ предоставлен </w:t>
      </w:r>
      <w:hyperlink r:id="rId4" w:history="1">
        <w:r>
          <w:rPr>
            <w:color w:val="0000FF"/>
          </w:rPr>
          <w:t>КонсультантПлюс</w:t>
        </w:r>
      </w:hyperlink>
      <w:r>
        <w:br/>
      </w:r>
    </w:p>
    <w:p w:rsidR="007D0120" w:rsidRDefault="007D0120">
      <w:pPr>
        <w:pStyle w:val="ConsPlusNormal"/>
        <w:outlineLvl w:val="0"/>
      </w:pPr>
    </w:p>
    <w:p w:rsidR="007D0120" w:rsidRDefault="007D0120">
      <w:pPr>
        <w:pStyle w:val="ConsPlusTitle"/>
        <w:jc w:val="center"/>
        <w:outlineLvl w:val="0"/>
      </w:pPr>
      <w:r>
        <w:t>РЕГИОНАЛЬНАЯ СЛУЖБА ПО ТАРИФАМ</w:t>
      </w:r>
    </w:p>
    <w:p w:rsidR="007D0120" w:rsidRDefault="007D0120">
      <w:pPr>
        <w:pStyle w:val="ConsPlusTitle"/>
        <w:jc w:val="center"/>
      </w:pPr>
      <w:r>
        <w:t>ХАНТЫ-МАНСИЙСКОГО АВТОНОМНОГО ОКРУГА - ЮГРЫ</w:t>
      </w:r>
    </w:p>
    <w:p w:rsidR="007D0120" w:rsidRDefault="007D0120">
      <w:pPr>
        <w:pStyle w:val="ConsPlusTitle"/>
        <w:jc w:val="center"/>
      </w:pPr>
    </w:p>
    <w:p w:rsidR="007D0120" w:rsidRDefault="007D0120">
      <w:pPr>
        <w:pStyle w:val="ConsPlusTitle"/>
        <w:jc w:val="center"/>
      </w:pPr>
      <w:r>
        <w:t>ПРИКАЗ</w:t>
      </w:r>
    </w:p>
    <w:p w:rsidR="007D0120" w:rsidRDefault="007D0120">
      <w:pPr>
        <w:pStyle w:val="ConsPlusTitle"/>
        <w:jc w:val="center"/>
      </w:pPr>
      <w:r>
        <w:t>от 19 декабря 2019 г. N 166-нп</w:t>
      </w:r>
    </w:p>
    <w:p w:rsidR="007D0120" w:rsidRDefault="007D0120">
      <w:pPr>
        <w:pStyle w:val="ConsPlusTitle"/>
        <w:jc w:val="center"/>
      </w:pPr>
    </w:p>
    <w:p w:rsidR="007D0120" w:rsidRDefault="007D0120">
      <w:pPr>
        <w:pStyle w:val="ConsPlusTitle"/>
        <w:jc w:val="center"/>
      </w:pPr>
      <w:r>
        <w:t>ОБ УСТАНОВЛЕНИИ ПРЕДЕЛЬНОГО ЕДИНОГО ТАРИФА НА УСЛУГУ</w:t>
      </w:r>
    </w:p>
    <w:p w:rsidR="007D0120" w:rsidRDefault="007D0120">
      <w:pPr>
        <w:pStyle w:val="ConsPlusTitle"/>
        <w:jc w:val="center"/>
      </w:pPr>
      <w:r>
        <w:t>РЕГИОНАЛЬНОГО ОПЕРАТОРА В ОБЛАСТИ ОБРАЩЕНИЯ С ТВЕРДЫМИ</w:t>
      </w:r>
    </w:p>
    <w:p w:rsidR="007D0120" w:rsidRDefault="007D0120">
      <w:pPr>
        <w:pStyle w:val="ConsPlusTitle"/>
        <w:jc w:val="center"/>
      </w:pPr>
      <w:r>
        <w:t>КОММУНАЛЬНЫМИ ОТХОДАМИ ДЛЯ АКЦИОНЕРНОГО ОБЩЕСТВА</w:t>
      </w:r>
    </w:p>
    <w:p w:rsidR="007D0120" w:rsidRDefault="007D0120">
      <w:pPr>
        <w:pStyle w:val="ConsPlusTitle"/>
        <w:jc w:val="center"/>
      </w:pPr>
      <w:r>
        <w:t>"ЮГРА-ЭКОЛОГИЯ"</w:t>
      </w:r>
    </w:p>
    <w:p w:rsidR="007D0120" w:rsidRDefault="007D0120">
      <w:pPr>
        <w:pStyle w:val="ConsPlusNormal"/>
        <w:ind w:firstLine="540"/>
        <w:jc w:val="both"/>
      </w:pPr>
    </w:p>
    <w:p w:rsidR="007D0120" w:rsidRDefault="007D0120">
      <w:pPr>
        <w:pStyle w:val="ConsPlusNormal"/>
        <w:ind w:firstLine="540"/>
        <w:jc w:val="both"/>
      </w:pPr>
      <w:r>
        <w:t xml:space="preserve">В соответствии с Федеральным </w:t>
      </w:r>
      <w:hyperlink r:id="rId5" w:history="1">
        <w:r>
          <w:rPr>
            <w:color w:val="0000FF"/>
          </w:rPr>
          <w:t>законом</w:t>
        </w:r>
      </w:hyperlink>
      <w:r>
        <w:t xml:space="preserve"> от 24 июня 1998 года N 89-ФЗ "Об отходах производства и потребления", </w:t>
      </w:r>
      <w:hyperlink r:id="rId6" w:history="1">
        <w:r>
          <w:rPr>
            <w:color w:val="0000FF"/>
          </w:rPr>
          <w:t>постановлением</w:t>
        </w:r>
      </w:hyperlink>
      <w:r>
        <w:t xml:space="preserve"> Правительства Российской Федерации от 30 мая 2016 года N 484 "О ценообразовании в области обращения с твердыми коммунальными отходами", </w:t>
      </w:r>
      <w:hyperlink r:id="rId7" w:history="1">
        <w:r>
          <w:rPr>
            <w:color w:val="0000FF"/>
          </w:rPr>
          <w:t>приказом</w:t>
        </w:r>
      </w:hyperlink>
      <w:r>
        <w:t xml:space="preserve"> Федеральной антимонопольной службы от 21 ноября 2016 года N 1638/16 "Об утверждении Методических указаний по расчету регулируемых тарифов в области обращения с твердыми коммунальными отходами", на основании </w:t>
      </w:r>
      <w:hyperlink r:id="rId8"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протокола правления Региональной службы по тарифам Ханты-Мансийского автономного округа - Югры от 19 декабря 2019 года N 96 приказываю:</w:t>
      </w:r>
    </w:p>
    <w:p w:rsidR="007D0120" w:rsidRDefault="007D0120">
      <w:pPr>
        <w:pStyle w:val="ConsPlusNormal"/>
        <w:spacing w:before="220"/>
        <w:ind w:firstLine="540"/>
        <w:jc w:val="both"/>
      </w:pPr>
      <w:r>
        <w:t xml:space="preserve">1. Установить на период с 1 января 2020 года по 31 декабря 2022 года предельный единый </w:t>
      </w:r>
      <w:hyperlink w:anchor="P29" w:history="1">
        <w:r>
          <w:rPr>
            <w:color w:val="0000FF"/>
          </w:rPr>
          <w:t>тариф</w:t>
        </w:r>
      </w:hyperlink>
      <w:r>
        <w:t xml:space="preserve"> на услугу регионального оператора в области обращения с твердыми коммунальными отходами для акционерного общества "Югра-Экология" согласно приложению 1 к настоящему приказу.</w:t>
      </w:r>
    </w:p>
    <w:p w:rsidR="007D0120" w:rsidRDefault="007D0120">
      <w:pPr>
        <w:pStyle w:val="ConsPlusNormal"/>
        <w:spacing w:before="220"/>
        <w:ind w:firstLine="540"/>
        <w:jc w:val="both"/>
      </w:pPr>
      <w:r>
        <w:t xml:space="preserve">2. Установить долгосрочные </w:t>
      </w:r>
      <w:hyperlink w:anchor="P105" w:history="1">
        <w:r>
          <w:rPr>
            <w:color w:val="0000FF"/>
          </w:rPr>
          <w:t>параметры</w:t>
        </w:r>
      </w:hyperlink>
      <w:r>
        <w:t xml:space="preserve"> регулирования тарифов, определяемые на долгосрочный период регулирования при установлении предельного единого тарифа на услугу регионального оператора в области обращения с твердыми коммунальными отходами с использованием метода индексации для акционерного общества "Югра-Экология", на 2020 - 2022 годы, согласно приложению 2 к настоящему приказу.</w:t>
      </w:r>
    </w:p>
    <w:p w:rsidR="007D0120" w:rsidRDefault="007D0120">
      <w:pPr>
        <w:pStyle w:val="ConsPlusNormal"/>
        <w:ind w:firstLine="540"/>
        <w:jc w:val="both"/>
      </w:pPr>
    </w:p>
    <w:p w:rsidR="007D0120" w:rsidRDefault="007D0120">
      <w:pPr>
        <w:pStyle w:val="ConsPlusNormal"/>
        <w:jc w:val="right"/>
      </w:pPr>
      <w:r>
        <w:t>Руководитель службы</w:t>
      </w:r>
    </w:p>
    <w:p w:rsidR="007D0120" w:rsidRDefault="007D0120">
      <w:pPr>
        <w:pStyle w:val="ConsPlusNormal"/>
        <w:jc w:val="right"/>
      </w:pPr>
      <w:r>
        <w:t>А.А.БЕРЕЗОВСКИЙ</w:t>
      </w: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jc w:val="right"/>
        <w:outlineLvl w:val="0"/>
      </w:pPr>
      <w:r>
        <w:t>Приложение 1</w:t>
      </w:r>
    </w:p>
    <w:p w:rsidR="007D0120" w:rsidRDefault="007D0120">
      <w:pPr>
        <w:pStyle w:val="ConsPlusNormal"/>
        <w:jc w:val="right"/>
      </w:pPr>
      <w:r>
        <w:t>к приказу Региональной службы</w:t>
      </w:r>
    </w:p>
    <w:p w:rsidR="007D0120" w:rsidRDefault="007D0120">
      <w:pPr>
        <w:pStyle w:val="ConsPlusNormal"/>
        <w:jc w:val="right"/>
      </w:pPr>
      <w:r>
        <w:t>по тарифам Ханты-Мансийского</w:t>
      </w:r>
    </w:p>
    <w:p w:rsidR="007D0120" w:rsidRDefault="007D0120">
      <w:pPr>
        <w:pStyle w:val="ConsPlusNormal"/>
        <w:jc w:val="right"/>
      </w:pPr>
      <w:r>
        <w:t>автономного округа - Югры</w:t>
      </w:r>
    </w:p>
    <w:p w:rsidR="007D0120" w:rsidRDefault="007D0120">
      <w:pPr>
        <w:pStyle w:val="ConsPlusNormal"/>
        <w:jc w:val="right"/>
      </w:pPr>
      <w:r>
        <w:t>от 19 декабря 2019 года N 166-нп</w:t>
      </w:r>
    </w:p>
    <w:p w:rsidR="007D0120" w:rsidRDefault="007D0120">
      <w:pPr>
        <w:pStyle w:val="ConsPlusNormal"/>
      </w:pPr>
    </w:p>
    <w:p w:rsidR="007D0120" w:rsidRDefault="007D0120">
      <w:pPr>
        <w:pStyle w:val="ConsPlusTitle"/>
        <w:jc w:val="center"/>
      </w:pPr>
      <w:bookmarkStart w:id="0" w:name="P29"/>
      <w:bookmarkEnd w:id="0"/>
      <w:r>
        <w:t>ПРЕДЕЛЬНЫЙ ЕДИНЫЙ ТАРИФ</w:t>
      </w:r>
    </w:p>
    <w:p w:rsidR="007D0120" w:rsidRDefault="007D0120">
      <w:pPr>
        <w:pStyle w:val="ConsPlusTitle"/>
        <w:jc w:val="center"/>
      </w:pPr>
      <w:r>
        <w:t>НА УСЛУГУ РЕГИОНАЛЬНОГО ОПЕРАТОРА В ОБЛАСТИ ОБРАЩЕНИЯ</w:t>
      </w:r>
    </w:p>
    <w:p w:rsidR="007D0120" w:rsidRDefault="007D0120">
      <w:pPr>
        <w:pStyle w:val="ConsPlusTitle"/>
        <w:jc w:val="center"/>
      </w:pPr>
      <w:r>
        <w:t>С ТВЕРДЫМИ КОММУНАЛЬНЫМИ ОТХОДАМИ ДЛЯ АКЦИОНЕРНОГО ОБЩЕСТВА</w:t>
      </w:r>
    </w:p>
    <w:p w:rsidR="007D0120" w:rsidRDefault="007D0120">
      <w:pPr>
        <w:pStyle w:val="ConsPlusTitle"/>
        <w:jc w:val="center"/>
      </w:pPr>
      <w:r>
        <w:t>"ЮГРА-ЭКОЛОГИЯ"</w:t>
      </w:r>
    </w:p>
    <w:p w:rsidR="007D0120" w:rsidRDefault="007D0120">
      <w:pPr>
        <w:pStyle w:val="ConsPlusNormal"/>
      </w:pPr>
    </w:p>
    <w:p w:rsidR="007D0120" w:rsidRDefault="007D0120">
      <w:pPr>
        <w:sectPr w:rsidR="007D0120" w:rsidSect="007D13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422"/>
        <w:gridCol w:w="1304"/>
        <w:gridCol w:w="1757"/>
        <w:gridCol w:w="904"/>
        <w:gridCol w:w="904"/>
        <w:gridCol w:w="904"/>
        <w:gridCol w:w="904"/>
        <w:gridCol w:w="904"/>
        <w:gridCol w:w="904"/>
      </w:tblGrid>
      <w:tr w:rsidR="007D0120">
        <w:tc>
          <w:tcPr>
            <w:tcW w:w="486" w:type="dxa"/>
            <w:vMerge w:val="restart"/>
            <w:vAlign w:val="center"/>
          </w:tcPr>
          <w:p w:rsidR="007D0120" w:rsidRDefault="007D0120">
            <w:pPr>
              <w:pStyle w:val="ConsPlusNormal"/>
              <w:jc w:val="center"/>
            </w:pPr>
            <w:r>
              <w:lastRenderedPageBreak/>
              <w:t>N п/п</w:t>
            </w:r>
          </w:p>
        </w:tc>
        <w:tc>
          <w:tcPr>
            <w:tcW w:w="4422" w:type="dxa"/>
            <w:vMerge w:val="restart"/>
            <w:vAlign w:val="center"/>
          </w:tcPr>
          <w:p w:rsidR="007D0120" w:rsidRDefault="007D0120">
            <w:pPr>
              <w:pStyle w:val="ConsPlusNormal"/>
              <w:jc w:val="center"/>
            </w:pPr>
            <w:r>
              <w:t>Наименование муниципального образования</w:t>
            </w:r>
          </w:p>
        </w:tc>
        <w:tc>
          <w:tcPr>
            <w:tcW w:w="1304" w:type="dxa"/>
            <w:vMerge w:val="restart"/>
            <w:vAlign w:val="center"/>
          </w:tcPr>
          <w:p w:rsidR="007D0120" w:rsidRDefault="007D0120">
            <w:pPr>
              <w:pStyle w:val="ConsPlusNormal"/>
              <w:jc w:val="center"/>
            </w:pPr>
            <w:r>
              <w:t>Ед. изм.</w:t>
            </w:r>
          </w:p>
        </w:tc>
        <w:tc>
          <w:tcPr>
            <w:tcW w:w="1757" w:type="dxa"/>
            <w:vMerge w:val="restart"/>
            <w:vAlign w:val="center"/>
          </w:tcPr>
          <w:p w:rsidR="007D0120" w:rsidRDefault="007D0120">
            <w:pPr>
              <w:pStyle w:val="ConsPlusNormal"/>
              <w:jc w:val="center"/>
            </w:pPr>
            <w:r>
              <w:t>Категории потребителей</w:t>
            </w:r>
          </w:p>
        </w:tc>
        <w:tc>
          <w:tcPr>
            <w:tcW w:w="5424" w:type="dxa"/>
            <w:gridSpan w:val="6"/>
            <w:vAlign w:val="center"/>
          </w:tcPr>
          <w:p w:rsidR="007D0120" w:rsidRDefault="007D0120">
            <w:pPr>
              <w:pStyle w:val="ConsPlusNormal"/>
              <w:jc w:val="center"/>
            </w:pPr>
            <w:r>
              <w:t>Единый тариф на услугу регионального оператора в области обращения с твердыми коммунальными отходами &lt;**&gt;</w:t>
            </w:r>
          </w:p>
        </w:tc>
      </w:tr>
      <w:tr w:rsidR="007D0120">
        <w:tc>
          <w:tcPr>
            <w:tcW w:w="486" w:type="dxa"/>
            <w:vMerge/>
          </w:tcPr>
          <w:p w:rsidR="007D0120" w:rsidRDefault="007D0120"/>
        </w:tc>
        <w:tc>
          <w:tcPr>
            <w:tcW w:w="4422" w:type="dxa"/>
            <w:vMerge/>
          </w:tcPr>
          <w:p w:rsidR="007D0120" w:rsidRDefault="007D0120"/>
        </w:tc>
        <w:tc>
          <w:tcPr>
            <w:tcW w:w="1304" w:type="dxa"/>
            <w:vMerge/>
          </w:tcPr>
          <w:p w:rsidR="007D0120" w:rsidRDefault="007D0120"/>
        </w:tc>
        <w:tc>
          <w:tcPr>
            <w:tcW w:w="1757" w:type="dxa"/>
            <w:vMerge/>
          </w:tcPr>
          <w:p w:rsidR="007D0120" w:rsidRDefault="007D0120"/>
        </w:tc>
        <w:tc>
          <w:tcPr>
            <w:tcW w:w="1808" w:type="dxa"/>
            <w:gridSpan w:val="2"/>
            <w:vAlign w:val="center"/>
          </w:tcPr>
          <w:p w:rsidR="007D0120" w:rsidRDefault="007D0120">
            <w:pPr>
              <w:pStyle w:val="ConsPlusNormal"/>
              <w:jc w:val="center"/>
            </w:pPr>
            <w:r>
              <w:t>2020 год</w:t>
            </w:r>
          </w:p>
        </w:tc>
        <w:tc>
          <w:tcPr>
            <w:tcW w:w="1808" w:type="dxa"/>
            <w:gridSpan w:val="2"/>
          </w:tcPr>
          <w:p w:rsidR="007D0120" w:rsidRDefault="007D0120">
            <w:pPr>
              <w:pStyle w:val="ConsPlusNormal"/>
              <w:jc w:val="center"/>
            </w:pPr>
            <w:r>
              <w:t>2021 год</w:t>
            </w:r>
          </w:p>
        </w:tc>
        <w:tc>
          <w:tcPr>
            <w:tcW w:w="1808" w:type="dxa"/>
            <w:gridSpan w:val="2"/>
          </w:tcPr>
          <w:p w:rsidR="007D0120" w:rsidRDefault="007D0120">
            <w:pPr>
              <w:pStyle w:val="ConsPlusNormal"/>
              <w:jc w:val="center"/>
            </w:pPr>
            <w:r>
              <w:t>2022 год</w:t>
            </w:r>
          </w:p>
        </w:tc>
      </w:tr>
      <w:tr w:rsidR="007D0120">
        <w:tc>
          <w:tcPr>
            <w:tcW w:w="486" w:type="dxa"/>
            <w:vMerge/>
          </w:tcPr>
          <w:p w:rsidR="007D0120" w:rsidRDefault="007D0120"/>
        </w:tc>
        <w:tc>
          <w:tcPr>
            <w:tcW w:w="4422" w:type="dxa"/>
            <w:vMerge/>
          </w:tcPr>
          <w:p w:rsidR="007D0120" w:rsidRDefault="007D0120"/>
        </w:tc>
        <w:tc>
          <w:tcPr>
            <w:tcW w:w="1304" w:type="dxa"/>
            <w:vMerge/>
          </w:tcPr>
          <w:p w:rsidR="007D0120" w:rsidRDefault="007D0120"/>
        </w:tc>
        <w:tc>
          <w:tcPr>
            <w:tcW w:w="1757" w:type="dxa"/>
            <w:vMerge/>
          </w:tcPr>
          <w:p w:rsidR="007D0120" w:rsidRDefault="007D0120"/>
        </w:tc>
        <w:tc>
          <w:tcPr>
            <w:tcW w:w="904" w:type="dxa"/>
            <w:vAlign w:val="center"/>
          </w:tcPr>
          <w:p w:rsidR="007D0120" w:rsidRDefault="007D0120">
            <w:pPr>
              <w:pStyle w:val="ConsPlusNormal"/>
              <w:jc w:val="center"/>
            </w:pPr>
            <w:r>
              <w:t>с 1 января по 30 июня</w:t>
            </w:r>
          </w:p>
        </w:tc>
        <w:tc>
          <w:tcPr>
            <w:tcW w:w="904" w:type="dxa"/>
          </w:tcPr>
          <w:p w:rsidR="007D0120" w:rsidRDefault="007D0120">
            <w:pPr>
              <w:pStyle w:val="ConsPlusNormal"/>
              <w:jc w:val="center"/>
            </w:pPr>
            <w:r>
              <w:t>с 1 июля по 31 декабря</w:t>
            </w:r>
          </w:p>
        </w:tc>
        <w:tc>
          <w:tcPr>
            <w:tcW w:w="904" w:type="dxa"/>
            <w:vAlign w:val="center"/>
          </w:tcPr>
          <w:p w:rsidR="007D0120" w:rsidRDefault="007D0120">
            <w:pPr>
              <w:pStyle w:val="ConsPlusNormal"/>
              <w:jc w:val="center"/>
            </w:pPr>
            <w:r>
              <w:t>с 1 января по 30 июня</w:t>
            </w:r>
          </w:p>
        </w:tc>
        <w:tc>
          <w:tcPr>
            <w:tcW w:w="904" w:type="dxa"/>
          </w:tcPr>
          <w:p w:rsidR="007D0120" w:rsidRDefault="007D0120">
            <w:pPr>
              <w:pStyle w:val="ConsPlusNormal"/>
              <w:jc w:val="center"/>
            </w:pPr>
            <w:r>
              <w:t>с 1 июля по 31 декабря</w:t>
            </w:r>
          </w:p>
        </w:tc>
        <w:tc>
          <w:tcPr>
            <w:tcW w:w="904" w:type="dxa"/>
            <w:vAlign w:val="center"/>
          </w:tcPr>
          <w:p w:rsidR="007D0120" w:rsidRDefault="007D0120">
            <w:pPr>
              <w:pStyle w:val="ConsPlusNormal"/>
              <w:jc w:val="center"/>
            </w:pPr>
            <w:r>
              <w:t>с 1 января по 30 июня</w:t>
            </w:r>
          </w:p>
        </w:tc>
        <w:tc>
          <w:tcPr>
            <w:tcW w:w="904" w:type="dxa"/>
          </w:tcPr>
          <w:p w:rsidR="007D0120" w:rsidRDefault="007D0120">
            <w:pPr>
              <w:pStyle w:val="ConsPlusNormal"/>
              <w:jc w:val="center"/>
            </w:pPr>
            <w:r>
              <w:t>с 1 июля по 31 декабря</w:t>
            </w:r>
          </w:p>
        </w:tc>
      </w:tr>
      <w:tr w:rsidR="007D0120">
        <w:tc>
          <w:tcPr>
            <w:tcW w:w="486" w:type="dxa"/>
            <w:vAlign w:val="center"/>
          </w:tcPr>
          <w:p w:rsidR="007D0120" w:rsidRDefault="007D0120">
            <w:pPr>
              <w:pStyle w:val="ConsPlusNormal"/>
              <w:jc w:val="center"/>
            </w:pPr>
            <w:r>
              <w:t>1</w:t>
            </w:r>
          </w:p>
        </w:tc>
        <w:tc>
          <w:tcPr>
            <w:tcW w:w="4422" w:type="dxa"/>
            <w:vAlign w:val="center"/>
          </w:tcPr>
          <w:p w:rsidR="007D0120" w:rsidRDefault="007D0120">
            <w:pPr>
              <w:pStyle w:val="ConsPlusNormal"/>
              <w:jc w:val="center"/>
            </w:pPr>
            <w:r>
              <w:t>2</w:t>
            </w:r>
          </w:p>
        </w:tc>
        <w:tc>
          <w:tcPr>
            <w:tcW w:w="1304" w:type="dxa"/>
            <w:vAlign w:val="center"/>
          </w:tcPr>
          <w:p w:rsidR="007D0120" w:rsidRDefault="007D0120">
            <w:pPr>
              <w:pStyle w:val="ConsPlusNormal"/>
              <w:jc w:val="center"/>
            </w:pPr>
            <w:r>
              <w:t>3</w:t>
            </w:r>
          </w:p>
        </w:tc>
        <w:tc>
          <w:tcPr>
            <w:tcW w:w="1757" w:type="dxa"/>
            <w:vAlign w:val="center"/>
          </w:tcPr>
          <w:p w:rsidR="007D0120" w:rsidRDefault="007D0120">
            <w:pPr>
              <w:pStyle w:val="ConsPlusNormal"/>
              <w:jc w:val="center"/>
            </w:pPr>
            <w:r>
              <w:t>4</w:t>
            </w:r>
          </w:p>
        </w:tc>
        <w:tc>
          <w:tcPr>
            <w:tcW w:w="904" w:type="dxa"/>
            <w:vAlign w:val="center"/>
          </w:tcPr>
          <w:p w:rsidR="007D0120" w:rsidRDefault="007D0120">
            <w:pPr>
              <w:pStyle w:val="ConsPlusNormal"/>
              <w:jc w:val="center"/>
            </w:pPr>
            <w:r>
              <w:t>5</w:t>
            </w:r>
          </w:p>
        </w:tc>
        <w:tc>
          <w:tcPr>
            <w:tcW w:w="904" w:type="dxa"/>
          </w:tcPr>
          <w:p w:rsidR="007D0120" w:rsidRDefault="007D0120">
            <w:pPr>
              <w:pStyle w:val="ConsPlusNormal"/>
              <w:jc w:val="center"/>
            </w:pPr>
            <w:r>
              <w:t>6</w:t>
            </w:r>
          </w:p>
        </w:tc>
        <w:tc>
          <w:tcPr>
            <w:tcW w:w="904" w:type="dxa"/>
          </w:tcPr>
          <w:p w:rsidR="007D0120" w:rsidRDefault="007D0120">
            <w:pPr>
              <w:pStyle w:val="ConsPlusNormal"/>
              <w:jc w:val="center"/>
            </w:pPr>
            <w:r>
              <w:t>7</w:t>
            </w:r>
          </w:p>
        </w:tc>
        <w:tc>
          <w:tcPr>
            <w:tcW w:w="904" w:type="dxa"/>
          </w:tcPr>
          <w:p w:rsidR="007D0120" w:rsidRDefault="007D0120">
            <w:pPr>
              <w:pStyle w:val="ConsPlusNormal"/>
              <w:jc w:val="center"/>
            </w:pPr>
            <w:r>
              <w:t>8</w:t>
            </w:r>
          </w:p>
        </w:tc>
        <w:tc>
          <w:tcPr>
            <w:tcW w:w="904" w:type="dxa"/>
          </w:tcPr>
          <w:p w:rsidR="007D0120" w:rsidRDefault="007D0120">
            <w:pPr>
              <w:pStyle w:val="ConsPlusNormal"/>
              <w:jc w:val="center"/>
            </w:pPr>
            <w:r>
              <w:t>9</w:t>
            </w:r>
          </w:p>
        </w:tc>
        <w:tc>
          <w:tcPr>
            <w:tcW w:w="904" w:type="dxa"/>
          </w:tcPr>
          <w:p w:rsidR="007D0120" w:rsidRDefault="007D0120">
            <w:pPr>
              <w:pStyle w:val="ConsPlusNormal"/>
              <w:jc w:val="center"/>
            </w:pPr>
            <w:r>
              <w:t>10</w:t>
            </w:r>
          </w:p>
        </w:tc>
      </w:tr>
      <w:tr w:rsidR="007D0120">
        <w:tc>
          <w:tcPr>
            <w:tcW w:w="486" w:type="dxa"/>
            <w:vMerge w:val="restart"/>
            <w:vAlign w:val="center"/>
          </w:tcPr>
          <w:p w:rsidR="007D0120" w:rsidRDefault="007D0120">
            <w:pPr>
              <w:pStyle w:val="ConsPlusNormal"/>
            </w:pPr>
            <w:r>
              <w:t>1</w:t>
            </w:r>
          </w:p>
        </w:tc>
        <w:tc>
          <w:tcPr>
            <w:tcW w:w="4422" w:type="dxa"/>
            <w:vMerge w:val="restart"/>
            <w:vAlign w:val="center"/>
          </w:tcPr>
          <w:p w:rsidR="007D0120" w:rsidRDefault="007D0120">
            <w:pPr>
              <w:pStyle w:val="ConsPlusNormal"/>
            </w:pPr>
            <w: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1304" w:type="dxa"/>
            <w:vMerge w:val="restart"/>
            <w:vAlign w:val="center"/>
          </w:tcPr>
          <w:p w:rsidR="007D0120" w:rsidRDefault="007D0120">
            <w:pPr>
              <w:pStyle w:val="ConsPlusNormal"/>
            </w:pPr>
            <w:r>
              <w:t>руб./м3</w:t>
            </w:r>
          </w:p>
        </w:tc>
        <w:tc>
          <w:tcPr>
            <w:tcW w:w="1757" w:type="dxa"/>
            <w:vAlign w:val="center"/>
          </w:tcPr>
          <w:p w:rsidR="007D0120" w:rsidRDefault="007D0120">
            <w:pPr>
              <w:pStyle w:val="ConsPlusNormal"/>
            </w:pPr>
            <w:r>
              <w:t>Для прочих потребителей (без учета НДС)</w:t>
            </w:r>
          </w:p>
        </w:tc>
        <w:tc>
          <w:tcPr>
            <w:tcW w:w="904" w:type="dxa"/>
            <w:vAlign w:val="center"/>
          </w:tcPr>
          <w:p w:rsidR="007D0120" w:rsidRDefault="007D0120">
            <w:pPr>
              <w:pStyle w:val="ConsPlusNormal"/>
            </w:pPr>
            <w:r>
              <w:t>581,26</w:t>
            </w:r>
          </w:p>
        </w:tc>
        <w:tc>
          <w:tcPr>
            <w:tcW w:w="904" w:type="dxa"/>
            <w:vAlign w:val="center"/>
          </w:tcPr>
          <w:p w:rsidR="007D0120" w:rsidRDefault="007D0120">
            <w:pPr>
              <w:pStyle w:val="ConsPlusNormal"/>
            </w:pPr>
            <w:r>
              <w:t>587,49</w:t>
            </w:r>
          </w:p>
        </w:tc>
        <w:tc>
          <w:tcPr>
            <w:tcW w:w="904" w:type="dxa"/>
            <w:vAlign w:val="center"/>
          </w:tcPr>
          <w:p w:rsidR="007D0120" w:rsidRDefault="007D0120">
            <w:pPr>
              <w:pStyle w:val="ConsPlusNormal"/>
            </w:pPr>
            <w:r>
              <w:t>587,49</w:t>
            </w:r>
          </w:p>
        </w:tc>
        <w:tc>
          <w:tcPr>
            <w:tcW w:w="904" w:type="dxa"/>
            <w:vAlign w:val="center"/>
          </w:tcPr>
          <w:p w:rsidR="007D0120" w:rsidRDefault="007D0120">
            <w:pPr>
              <w:pStyle w:val="ConsPlusNormal"/>
            </w:pPr>
            <w:r>
              <w:t>621,57</w:t>
            </w:r>
          </w:p>
        </w:tc>
        <w:tc>
          <w:tcPr>
            <w:tcW w:w="904" w:type="dxa"/>
            <w:vAlign w:val="center"/>
          </w:tcPr>
          <w:p w:rsidR="007D0120" w:rsidRDefault="007D0120">
            <w:pPr>
              <w:pStyle w:val="ConsPlusNormal"/>
            </w:pPr>
            <w:r>
              <w:t>621,57</w:t>
            </w:r>
          </w:p>
        </w:tc>
        <w:tc>
          <w:tcPr>
            <w:tcW w:w="904" w:type="dxa"/>
            <w:vAlign w:val="center"/>
          </w:tcPr>
          <w:p w:rsidR="007D0120" w:rsidRDefault="007D0120">
            <w:pPr>
              <w:pStyle w:val="ConsPlusNormal"/>
            </w:pPr>
            <w:r>
              <w:t>630,64</w:t>
            </w:r>
          </w:p>
        </w:tc>
      </w:tr>
      <w:tr w:rsidR="007D0120">
        <w:tc>
          <w:tcPr>
            <w:tcW w:w="486" w:type="dxa"/>
            <w:vMerge/>
          </w:tcPr>
          <w:p w:rsidR="007D0120" w:rsidRDefault="007D0120"/>
        </w:tc>
        <w:tc>
          <w:tcPr>
            <w:tcW w:w="4422" w:type="dxa"/>
            <w:vMerge/>
          </w:tcPr>
          <w:p w:rsidR="007D0120" w:rsidRDefault="007D0120"/>
        </w:tc>
        <w:tc>
          <w:tcPr>
            <w:tcW w:w="1304" w:type="dxa"/>
            <w:vMerge/>
          </w:tcPr>
          <w:p w:rsidR="007D0120" w:rsidRDefault="007D0120"/>
        </w:tc>
        <w:tc>
          <w:tcPr>
            <w:tcW w:w="1757" w:type="dxa"/>
            <w:vAlign w:val="center"/>
          </w:tcPr>
          <w:p w:rsidR="007D0120" w:rsidRDefault="007D0120">
            <w:pPr>
              <w:pStyle w:val="ConsPlusNormal"/>
            </w:pPr>
            <w:r>
              <w:t>Для населения (с учетом НДС &lt;*&gt;)</w:t>
            </w:r>
          </w:p>
        </w:tc>
        <w:tc>
          <w:tcPr>
            <w:tcW w:w="904" w:type="dxa"/>
            <w:vAlign w:val="center"/>
          </w:tcPr>
          <w:p w:rsidR="007D0120" w:rsidRDefault="007D0120">
            <w:pPr>
              <w:pStyle w:val="ConsPlusNormal"/>
            </w:pPr>
            <w:r>
              <w:t>697,51</w:t>
            </w:r>
          </w:p>
        </w:tc>
        <w:tc>
          <w:tcPr>
            <w:tcW w:w="904" w:type="dxa"/>
            <w:vAlign w:val="center"/>
          </w:tcPr>
          <w:p w:rsidR="007D0120" w:rsidRDefault="007D0120">
            <w:pPr>
              <w:pStyle w:val="ConsPlusNormal"/>
            </w:pPr>
            <w:r>
              <w:t>704,99</w:t>
            </w:r>
          </w:p>
        </w:tc>
        <w:tc>
          <w:tcPr>
            <w:tcW w:w="904" w:type="dxa"/>
            <w:vAlign w:val="center"/>
          </w:tcPr>
          <w:p w:rsidR="007D0120" w:rsidRDefault="007D0120">
            <w:pPr>
              <w:pStyle w:val="ConsPlusNormal"/>
            </w:pPr>
            <w:r>
              <w:t>704,99</w:t>
            </w:r>
          </w:p>
        </w:tc>
        <w:tc>
          <w:tcPr>
            <w:tcW w:w="904" w:type="dxa"/>
            <w:vAlign w:val="center"/>
          </w:tcPr>
          <w:p w:rsidR="007D0120" w:rsidRDefault="007D0120">
            <w:pPr>
              <w:pStyle w:val="ConsPlusNormal"/>
            </w:pPr>
            <w:r>
              <w:t>745,88</w:t>
            </w:r>
          </w:p>
        </w:tc>
        <w:tc>
          <w:tcPr>
            <w:tcW w:w="904" w:type="dxa"/>
            <w:vAlign w:val="center"/>
          </w:tcPr>
          <w:p w:rsidR="007D0120" w:rsidRDefault="007D0120">
            <w:pPr>
              <w:pStyle w:val="ConsPlusNormal"/>
            </w:pPr>
            <w:r>
              <w:t>745,88</w:t>
            </w:r>
          </w:p>
        </w:tc>
        <w:tc>
          <w:tcPr>
            <w:tcW w:w="904" w:type="dxa"/>
            <w:vAlign w:val="center"/>
          </w:tcPr>
          <w:p w:rsidR="007D0120" w:rsidRDefault="007D0120">
            <w:pPr>
              <w:pStyle w:val="ConsPlusNormal"/>
            </w:pPr>
            <w:r>
              <w:t>756,77</w:t>
            </w:r>
          </w:p>
        </w:tc>
      </w:tr>
      <w:tr w:rsidR="007D0120">
        <w:tc>
          <w:tcPr>
            <w:tcW w:w="486" w:type="dxa"/>
            <w:vMerge/>
          </w:tcPr>
          <w:p w:rsidR="007D0120" w:rsidRDefault="007D0120"/>
        </w:tc>
        <w:tc>
          <w:tcPr>
            <w:tcW w:w="4422" w:type="dxa"/>
            <w:vMerge/>
          </w:tcPr>
          <w:p w:rsidR="007D0120" w:rsidRDefault="007D0120"/>
        </w:tc>
        <w:tc>
          <w:tcPr>
            <w:tcW w:w="1304" w:type="dxa"/>
            <w:vMerge w:val="restart"/>
            <w:vAlign w:val="center"/>
          </w:tcPr>
          <w:p w:rsidR="007D0120" w:rsidRDefault="007D0120">
            <w:pPr>
              <w:pStyle w:val="ConsPlusNormal"/>
            </w:pPr>
            <w:r>
              <w:t>руб./тонна</w:t>
            </w:r>
          </w:p>
        </w:tc>
        <w:tc>
          <w:tcPr>
            <w:tcW w:w="1757" w:type="dxa"/>
            <w:vAlign w:val="center"/>
          </w:tcPr>
          <w:p w:rsidR="007D0120" w:rsidRDefault="007D0120">
            <w:pPr>
              <w:pStyle w:val="ConsPlusNormal"/>
            </w:pPr>
            <w:r>
              <w:t>Для прочих потребителей (без учета НДС)</w:t>
            </w:r>
          </w:p>
        </w:tc>
        <w:tc>
          <w:tcPr>
            <w:tcW w:w="904" w:type="dxa"/>
            <w:vAlign w:val="center"/>
          </w:tcPr>
          <w:p w:rsidR="007D0120" w:rsidRDefault="007D0120">
            <w:pPr>
              <w:pStyle w:val="ConsPlusNormal"/>
            </w:pPr>
            <w:r>
              <w:t>5644,98</w:t>
            </w:r>
          </w:p>
        </w:tc>
        <w:tc>
          <w:tcPr>
            <w:tcW w:w="904" w:type="dxa"/>
            <w:vAlign w:val="center"/>
          </w:tcPr>
          <w:p w:rsidR="007D0120" w:rsidRDefault="007D0120">
            <w:pPr>
              <w:pStyle w:val="ConsPlusNormal"/>
            </w:pPr>
            <w:r>
              <w:t>5705,49</w:t>
            </w:r>
          </w:p>
        </w:tc>
        <w:tc>
          <w:tcPr>
            <w:tcW w:w="904" w:type="dxa"/>
            <w:vAlign w:val="center"/>
          </w:tcPr>
          <w:p w:rsidR="007D0120" w:rsidRDefault="007D0120">
            <w:pPr>
              <w:pStyle w:val="ConsPlusNormal"/>
            </w:pPr>
            <w:r>
              <w:t>5705,49</w:t>
            </w:r>
          </w:p>
        </w:tc>
        <w:tc>
          <w:tcPr>
            <w:tcW w:w="904" w:type="dxa"/>
            <w:vAlign w:val="center"/>
          </w:tcPr>
          <w:p w:rsidR="007D0120" w:rsidRDefault="007D0120">
            <w:pPr>
              <w:pStyle w:val="ConsPlusNormal"/>
            </w:pPr>
            <w:r>
              <w:t>6036,46</w:t>
            </w:r>
          </w:p>
        </w:tc>
        <w:tc>
          <w:tcPr>
            <w:tcW w:w="904" w:type="dxa"/>
            <w:vAlign w:val="center"/>
          </w:tcPr>
          <w:p w:rsidR="007D0120" w:rsidRDefault="007D0120">
            <w:pPr>
              <w:pStyle w:val="ConsPlusNormal"/>
            </w:pPr>
            <w:r>
              <w:t>6036,46</w:t>
            </w:r>
          </w:p>
        </w:tc>
        <w:tc>
          <w:tcPr>
            <w:tcW w:w="904" w:type="dxa"/>
            <w:vAlign w:val="center"/>
          </w:tcPr>
          <w:p w:rsidR="007D0120" w:rsidRDefault="007D0120">
            <w:pPr>
              <w:pStyle w:val="ConsPlusNormal"/>
            </w:pPr>
            <w:r>
              <w:t>6124,46</w:t>
            </w:r>
          </w:p>
        </w:tc>
      </w:tr>
      <w:tr w:rsidR="007D0120">
        <w:tc>
          <w:tcPr>
            <w:tcW w:w="486" w:type="dxa"/>
            <w:vMerge/>
          </w:tcPr>
          <w:p w:rsidR="007D0120" w:rsidRDefault="007D0120"/>
        </w:tc>
        <w:tc>
          <w:tcPr>
            <w:tcW w:w="4422" w:type="dxa"/>
            <w:vMerge/>
          </w:tcPr>
          <w:p w:rsidR="007D0120" w:rsidRDefault="007D0120"/>
        </w:tc>
        <w:tc>
          <w:tcPr>
            <w:tcW w:w="1304" w:type="dxa"/>
            <w:vMerge/>
          </w:tcPr>
          <w:p w:rsidR="007D0120" w:rsidRDefault="007D0120"/>
        </w:tc>
        <w:tc>
          <w:tcPr>
            <w:tcW w:w="1757" w:type="dxa"/>
            <w:vAlign w:val="center"/>
          </w:tcPr>
          <w:p w:rsidR="007D0120" w:rsidRDefault="007D0120">
            <w:pPr>
              <w:pStyle w:val="ConsPlusNormal"/>
            </w:pPr>
            <w:r>
              <w:t>Для населения (с учетом НДС &lt;*&gt;)</w:t>
            </w:r>
          </w:p>
        </w:tc>
        <w:tc>
          <w:tcPr>
            <w:tcW w:w="904" w:type="dxa"/>
            <w:vAlign w:val="center"/>
          </w:tcPr>
          <w:p w:rsidR="007D0120" w:rsidRDefault="007D0120">
            <w:pPr>
              <w:pStyle w:val="ConsPlusNormal"/>
            </w:pPr>
            <w:r>
              <w:t>6773,98</w:t>
            </w:r>
          </w:p>
        </w:tc>
        <w:tc>
          <w:tcPr>
            <w:tcW w:w="904" w:type="dxa"/>
            <w:vAlign w:val="center"/>
          </w:tcPr>
          <w:p w:rsidR="007D0120" w:rsidRDefault="007D0120">
            <w:pPr>
              <w:pStyle w:val="ConsPlusNormal"/>
            </w:pPr>
            <w:r>
              <w:t>6846,59</w:t>
            </w:r>
          </w:p>
        </w:tc>
        <w:tc>
          <w:tcPr>
            <w:tcW w:w="904" w:type="dxa"/>
            <w:vAlign w:val="center"/>
          </w:tcPr>
          <w:p w:rsidR="007D0120" w:rsidRDefault="007D0120">
            <w:pPr>
              <w:pStyle w:val="ConsPlusNormal"/>
            </w:pPr>
            <w:r>
              <w:t>6846,59</w:t>
            </w:r>
          </w:p>
        </w:tc>
        <w:tc>
          <w:tcPr>
            <w:tcW w:w="904" w:type="dxa"/>
            <w:vAlign w:val="center"/>
          </w:tcPr>
          <w:p w:rsidR="007D0120" w:rsidRDefault="007D0120">
            <w:pPr>
              <w:pStyle w:val="ConsPlusNormal"/>
            </w:pPr>
            <w:r>
              <w:t>7243,75</w:t>
            </w:r>
          </w:p>
        </w:tc>
        <w:tc>
          <w:tcPr>
            <w:tcW w:w="904" w:type="dxa"/>
            <w:vAlign w:val="center"/>
          </w:tcPr>
          <w:p w:rsidR="007D0120" w:rsidRDefault="007D0120">
            <w:pPr>
              <w:pStyle w:val="ConsPlusNormal"/>
            </w:pPr>
            <w:r>
              <w:t>7243,75</w:t>
            </w:r>
          </w:p>
        </w:tc>
        <w:tc>
          <w:tcPr>
            <w:tcW w:w="904" w:type="dxa"/>
            <w:vAlign w:val="center"/>
          </w:tcPr>
          <w:p w:rsidR="007D0120" w:rsidRDefault="007D0120">
            <w:pPr>
              <w:pStyle w:val="ConsPlusNormal"/>
            </w:pPr>
            <w:r>
              <w:t>7349,35</w:t>
            </w:r>
          </w:p>
        </w:tc>
      </w:tr>
    </w:tbl>
    <w:p w:rsidR="007D0120" w:rsidRDefault="007D0120">
      <w:pPr>
        <w:sectPr w:rsidR="007D0120">
          <w:pgSz w:w="16838" w:h="11905" w:orient="landscape"/>
          <w:pgMar w:top="1701" w:right="1134" w:bottom="850" w:left="1134" w:header="0" w:footer="0" w:gutter="0"/>
          <w:cols w:space="720"/>
        </w:sectPr>
      </w:pPr>
    </w:p>
    <w:p w:rsidR="007D0120" w:rsidRDefault="007D0120">
      <w:pPr>
        <w:pStyle w:val="ConsPlusNormal"/>
        <w:ind w:firstLine="540"/>
        <w:jc w:val="both"/>
      </w:pPr>
    </w:p>
    <w:p w:rsidR="007D0120" w:rsidRDefault="007D0120">
      <w:pPr>
        <w:pStyle w:val="ConsPlusNormal"/>
        <w:ind w:firstLine="540"/>
        <w:jc w:val="both"/>
      </w:pPr>
      <w:r>
        <w:t>--------------------------------</w:t>
      </w:r>
    </w:p>
    <w:p w:rsidR="007D0120" w:rsidRDefault="007D0120">
      <w:pPr>
        <w:pStyle w:val="ConsPlusNormal"/>
        <w:spacing w:before="220"/>
        <w:ind w:firstLine="540"/>
        <w:jc w:val="both"/>
      </w:pPr>
      <w:r>
        <w:t xml:space="preserve">&lt;*&gt; Выделяется в целях реализации </w:t>
      </w:r>
      <w:hyperlink r:id="rId9" w:history="1">
        <w:r>
          <w:rPr>
            <w:color w:val="0000FF"/>
          </w:rPr>
          <w:t>пункта 6 статьи 168</w:t>
        </w:r>
      </w:hyperlink>
      <w:r>
        <w:t xml:space="preserve"> Налогового кодекса Российской Федерации (часть вторая).</w:t>
      </w:r>
    </w:p>
    <w:p w:rsidR="007D0120" w:rsidRDefault="007D0120">
      <w:pPr>
        <w:pStyle w:val="ConsPlusNormal"/>
        <w:spacing w:before="220"/>
        <w:ind w:firstLine="540"/>
        <w:jc w:val="both"/>
      </w:pPr>
      <w:r>
        <w:t xml:space="preserve">&lt;**&gt; Тарифы установлены без применения </w:t>
      </w:r>
      <w:hyperlink r:id="rId10" w:history="1">
        <w:r>
          <w:rPr>
            <w:color w:val="0000FF"/>
          </w:rPr>
          <w:t>подпункта 36 пункта 2 статьи 149</w:t>
        </w:r>
      </w:hyperlink>
      <w:r>
        <w:t xml:space="preserve"> Налогового кодекса Российской Федерации (часть вторая).</w:t>
      </w: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pPr>
    </w:p>
    <w:p w:rsidR="007D0120" w:rsidRDefault="007D0120">
      <w:pPr>
        <w:pStyle w:val="ConsPlusNormal"/>
        <w:jc w:val="right"/>
        <w:outlineLvl w:val="0"/>
      </w:pPr>
      <w:r>
        <w:t>Приложение 2</w:t>
      </w:r>
    </w:p>
    <w:p w:rsidR="007D0120" w:rsidRDefault="007D0120">
      <w:pPr>
        <w:pStyle w:val="ConsPlusNormal"/>
        <w:jc w:val="right"/>
      </w:pPr>
      <w:r>
        <w:t>к приказу Региональной службы</w:t>
      </w:r>
    </w:p>
    <w:p w:rsidR="007D0120" w:rsidRDefault="007D0120">
      <w:pPr>
        <w:pStyle w:val="ConsPlusNormal"/>
        <w:jc w:val="right"/>
      </w:pPr>
      <w:r>
        <w:t>по тарифам Ханты-Мансийского</w:t>
      </w:r>
    </w:p>
    <w:p w:rsidR="007D0120" w:rsidRDefault="007D0120">
      <w:pPr>
        <w:pStyle w:val="ConsPlusNormal"/>
        <w:jc w:val="right"/>
      </w:pPr>
      <w:r>
        <w:t>автономного округа - Югры</w:t>
      </w:r>
    </w:p>
    <w:p w:rsidR="007D0120" w:rsidRDefault="007D0120">
      <w:pPr>
        <w:pStyle w:val="ConsPlusNormal"/>
        <w:jc w:val="right"/>
      </w:pPr>
      <w:r>
        <w:t>от 19 декабря 2019 года N 166-нп</w:t>
      </w:r>
    </w:p>
    <w:p w:rsidR="007D0120" w:rsidRDefault="007D0120">
      <w:pPr>
        <w:pStyle w:val="ConsPlusNormal"/>
      </w:pPr>
    </w:p>
    <w:p w:rsidR="007D0120" w:rsidRDefault="007D0120">
      <w:pPr>
        <w:pStyle w:val="ConsPlusTitle"/>
        <w:jc w:val="center"/>
      </w:pPr>
      <w:bookmarkStart w:id="1" w:name="P105"/>
      <w:bookmarkEnd w:id="1"/>
      <w:r>
        <w:t>ДОЛГОСРОЧНЫЕ ПАРАМЕТРЫ</w:t>
      </w:r>
    </w:p>
    <w:p w:rsidR="007D0120" w:rsidRDefault="007D0120">
      <w:pPr>
        <w:pStyle w:val="ConsPlusTitle"/>
        <w:jc w:val="center"/>
      </w:pPr>
      <w:r>
        <w:t>РЕГУЛИРОВАНИЯ ТАРИФОВ, ОПРЕДЕЛЯЕМЫЕ НА ДОЛГОСРОЧНЫЙ ПЕРИОД</w:t>
      </w:r>
    </w:p>
    <w:p w:rsidR="007D0120" w:rsidRDefault="007D0120">
      <w:pPr>
        <w:pStyle w:val="ConsPlusTitle"/>
        <w:jc w:val="center"/>
      </w:pPr>
      <w:r>
        <w:t>РЕГУЛИРОВАНИЯ ПРИ УСТАНОВЛЕНИИ ПРЕДЕЛЬНОГО ЕДИНОГО ТАРИФА</w:t>
      </w:r>
    </w:p>
    <w:p w:rsidR="007D0120" w:rsidRDefault="007D0120">
      <w:pPr>
        <w:pStyle w:val="ConsPlusTitle"/>
        <w:jc w:val="center"/>
      </w:pPr>
      <w:r>
        <w:t>НА УСЛУГУ РЕГИОНАЛЬНОГО ОПЕРАТОРА В ОБЛАСТИ ОБРАЩЕНИЯ</w:t>
      </w:r>
    </w:p>
    <w:p w:rsidR="007D0120" w:rsidRDefault="007D0120">
      <w:pPr>
        <w:pStyle w:val="ConsPlusTitle"/>
        <w:jc w:val="center"/>
      </w:pPr>
      <w:r>
        <w:t>С ТВЕРДЫМИ КОММУНАЛЬНЫМИ ОТХОДАМИ С ИСПОЛЬЗОВАНИЕМ МЕТОДА</w:t>
      </w:r>
    </w:p>
    <w:p w:rsidR="007D0120" w:rsidRDefault="007D0120">
      <w:pPr>
        <w:pStyle w:val="ConsPlusTitle"/>
        <w:jc w:val="center"/>
      </w:pPr>
      <w:r>
        <w:t>ИНДЕКСАЦИИ ДЛЯ АКЦИОНЕРНОГО ОБЩЕСТВА "ЮГРА-ЭКОЛОГИЯ",</w:t>
      </w:r>
    </w:p>
    <w:p w:rsidR="007D0120" w:rsidRDefault="007D0120">
      <w:pPr>
        <w:pStyle w:val="ConsPlusTitle"/>
        <w:jc w:val="center"/>
      </w:pPr>
      <w:r>
        <w:t>НА 2020 - 2022 ГОДЫ</w:t>
      </w:r>
    </w:p>
    <w:p w:rsidR="007D0120" w:rsidRDefault="007D012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2608"/>
        <w:gridCol w:w="664"/>
        <w:gridCol w:w="1639"/>
        <w:gridCol w:w="1669"/>
        <w:gridCol w:w="1999"/>
      </w:tblGrid>
      <w:tr w:rsidR="007D0120">
        <w:tc>
          <w:tcPr>
            <w:tcW w:w="432" w:type="dxa"/>
            <w:vMerge w:val="restart"/>
            <w:vAlign w:val="center"/>
          </w:tcPr>
          <w:p w:rsidR="007D0120" w:rsidRDefault="007D0120">
            <w:pPr>
              <w:pStyle w:val="ConsPlusNormal"/>
              <w:jc w:val="center"/>
            </w:pPr>
            <w:r>
              <w:t>N п/п</w:t>
            </w:r>
          </w:p>
        </w:tc>
        <w:tc>
          <w:tcPr>
            <w:tcW w:w="2608" w:type="dxa"/>
            <w:vMerge w:val="restart"/>
            <w:vAlign w:val="center"/>
          </w:tcPr>
          <w:p w:rsidR="007D0120" w:rsidRDefault="007D0120">
            <w:pPr>
              <w:pStyle w:val="ConsPlusNormal"/>
              <w:jc w:val="center"/>
            </w:pPr>
            <w:r>
              <w:t>Наименование муниципального образования</w:t>
            </w:r>
          </w:p>
        </w:tc>
        <w:tc>
          <w:tcPr>
            <w:tcW w:w="664" w:type="dxa"/>
            <w:vMerge w:val="restart"/>
            <w:vAlign w:val="center"/>
          </w:tcPr>
          <w:p w:rsidR="007D0120" w:rsidRDefault="007D0120">
            <w:pPr>
              <w:pStyle w:val="ConsPlusNormal"/>
              <w:jc w:val="center"/>
            </w:pPr>
            <w:r>
              <w:t>Годы</w:t>
            </w:r>
          </w:p>
        </w:tc>
        <w:tc>
          <w:tcPr>
            <w:tcW w:w="1639" w:type="dxa"/>
            <w:vMerge w:val="restart"/>
            <w:vAlign w:val="center"/>
          </w:tcPr>
          <w:p w:rsidR="007D0120" w:rsidRDefault="007D0120">
            <w:pPr>
              <w:pStyle w:val="ConsPlusNormal"/>
              <w:jc w:val="center"/>
            </w:pPr>
            <w:r>
              <w:t>Базовый уровень операционных расходов, тыс. руб.</w:t>
            </w:r>
          </w:p>
        </w:tc>
        <w:tc>
          <w:tcPr>
            <w:tcW w:w="1669" w:type="dxa"/>
            <w:vMerge w:val="restart"/>
            <w:vAlign w:val="center"/>
          </w:tcPr>
          <w:p w:rsidR="007D0120" w:rsidRDefault="007D0120">
            <w:pPr>
              <w:pStyle w:val="ConsPlusNormal"/>
              <w:jc w:val="center"/>
            </w:pPr>
            <w:r>
              <w:t>Индекс эффективности операционных расходов, %</w:t>
            </w:r>
          </w:p>
        </w:tc>
        <w:tc>
          <w:tcPr>
            <w:tcW w:w="1999" w:type="dxa"/>
            <w:vAlign w:val="center"/>
          </w:tcPr>
          <w:p w:rsidR="007D0120" w:rsidRDefault="007D0120">
            <w:pPr>
              <w:pStyle w:val="ConsPlusNormal"/>
              <w:jc w:val="center"/>
            </w:pPr>
            <w:r>
              <w:t>Показатели энергосбережения и энергетической эффективности</w:t>
            </w:r>
          </w:p>
        </w:tc>
      </w:tr>
      <w:tr w:rsidR="007D0120">
        <w:tc>
          <w:tcPr>
            <w:tcW w:w="432" w:type="dxa"/>
            <w:vMerge/>
          </w:tcPr>
          <w:p w:rsidR="007D0120" w:rsidRDefault="007D0120"/>
        </w:tc>
        <w:tc>
          <w:tcPr>
            <w:tcW w:w="2608" w:type="dxa"/>
            <w:vMerge/>
          </w:tcPr>
          <w:p w:rsidR="007D0120" w:rsidRDefault="007D0120"/>
        </w:tc>
        <w:tc>
          <w:tcPr>
            <w:tcW w:w="664" w:type="dxa"/>
            <w:vMerge/>
          </w:tcPr>
          <w:p w:rsidR="007D0120" w:rsidRDefault="007D0120"/>
        </w:tc>
        <w:tc>
          <w:tcPr>
            <w:tcW w:w="1639" w:type="dxa"/>
            <w:vMerge/>
          </w:tcPr>
          <w:p w:rsidR="007D0120" w:rsidRDefault="007D0120"/>
        </w:tc>
        <w:tc>
          <w:tcPr>
            <w:tcW w:w="1669" w:type="dxa"/>
            <w:vMerge/>
          </w:tcPr>
          <w:p w:rsidR="007D0120" w:rsidRDefault="007D0120"/>
        </w:tc>
        <w:tc>
          <w:tcPr>
            <w:tcW w:w="1999" w:type="dxa"/>
            <w:vAlign w:val="center"/>
          </w:tcPr>
          <w:p w:rsidR="007D0120" w:rsidRDefault="007D0120">
            <w:pPr>
              <w:pStyle w:val="ConsPlusNormal"/>
              <w:jc w:val="center"/>
            </w:pPr>
            <w:r>
              <w:t>удельный расход энергетических ресурсов, кВт.ч/куб. м</w:t>
            </w:r>
          </w:p>
        </w:tc>
      </w:tr>
      <w:tr w:rsidR="007D0120">
        <w:tc>
          <w:tcPr>
            <w:tcW w:w="432" w:type="dxa"/>
            <w:vAlign w:val="center"/>
          </w:tcPr>
          <w:p w:rsidR="007D0120" w:rsidRDefault="007D0120">
            <w:pPr>
              <w:pStyle w:val="ConsPlusNormal"/>
              <w:jc w:val="center"/>
            </w:pPr>
            <w:r>
              <w:t>1</w:t>
            </w:r>
          </w:p>
        </w:tc>
        <w:tc>
          <w:tcPr>
            <w:tcW w:w="2608" w:type="dxa"/>
            <w:vAlign w:val="center"/>
          </w:tcPr>
          <w:p w:rsidR="007D0120" w:rsidRDefault="007D0120">
            <w:pPr>
              <w:pStyle w:val="ConsPlusNormal"/>
              <w:jc w:val="center"/>
            </w:pPr>
            <w:r>
              <w:t>2</w:t>
            </w:r>
          </w:p>
        </w:tc>
        <w:tc>
          <w:tcPr>
            <w:tcW w:w="664" w:type="dxa"/>
            <w:vAlign w:val="center"/>
          </w:tcPr>
          <w:p w:rsidR="007D0120" w:rsidRDefault="007D0120">
            <w:pPr>
              <w:pStyle w:val="ConsPlusNormal"/>
              <w:jc w:val="center"/>
            </w:pPr>
            <w:r>
              <w:t>3</w:t>
            </w:r>
          </w:p>
        </w:tc>
        <w:tc>
          <w:tcPr>
            <w:tcW w:w="1639" w:type="dxa"/>
            <w:vAlign w:val="center"/>
          </w:tcPr>
          <w:p w:rsidR="007D0120" w:rsidRDefault="007D0120">
            <w:pPr>
              <w:pStyle w:val="ConsPlusNormal"/>
              <w:jc w:val="center"/>
            </w:pPr>
            <w:r>
              <w:t>4</w:t>
            </w:r>
          </w:p>
        </w:tc>
        <w:tc>
          <w:tcPr>
            <w:tcW w:w="1669" w:type="dxa"/>
            <w:vAlign w:val="center"/>
          </w:tcPr>
          <w:p w:rsidR="007D0120" w:rsidRDefault="007D0120">
            <w:pPr>
              <w:pStyle w:val="ConsPlusNormal"/>
              <w:jc w:val="center"/>
            </w:pPr>
            <w:r>
              <w:t>5</w:t>
            </w:r>
          </w:p>
        </w:tc>
        <w:tc>
          <w:tcPr>
            <w:tcW w:w="1999" w:type="dxa"/>
            <w:vAlign w:val="center"/>
          </w:tcPr>
          <w:p w:rsidR="007D0120" w:rsidRDefault="007D0120">
            <w:pPr>
              <w:pStyle w:val="ConsPlusNormal"/>
              <w:jc w:val="center"/>
            </w:pPr>
            <w:r>
              <w:t>6</w:t>
            </w:r>
          </w:p>
        </w:tc>
      </w:tr>
      <w:tr w:rsidR="007D0120">
        <w:tc>
          <w:tcPr>
            <w:tcW w:w="432" w:type="dxa"/>
            <w:vMerge w:val="restart"/>
            <w:vAlign w:val="center"/>
          </w:tcPr>
          <w:p w:rsidR="007D0120" w:rsidRDefault="007D0120">
            <w:pPr>
              <w:pStyle w:val="ConsPlusNormal"/>
            </w:pPr>
            <w:r>
              <w:t>1</w:t>
            </w:r>
          </w:p>
        </w:tc>
        <w:tc>
          <w:tcPr>
            <w:tcW w:w="2608" w:type="dxa"/>
            <w:vMerge w:val="restart"/>
            <w:vAlign w:val="center"/>
          </w:tcPr>
          <w:p w:rsidR="007D0120" w:rsidRDefault="007D0120">
            <w:pPr>
              <w:pStyle w:val="ConsPlusNormal"/>
            </w:pPr>
            <w: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664" w:type="dxa"/>
            <w:vAlign w:val="center"/>
          </w:tcPr>
          <w:p w:rsidR="007D0120" w:rsidRDefault="007D0120">
            <w:pPr>
              <w:pStyle w:val="ConsPlusNormal"/>
            </w:pPr>
            <w:r>
              <w:t>2020</w:t>
            </w:r>
          </w:p>
        </w:tc>
        <w:tc>
          <w:tcPr>
            <w:tcW w:w="1639" w:type="dxa"/>
            <w:vAlign w:val="center"/>
          </w:tcPr>
          <w:p w:rsidR="007D0120" w:rsidRDefault="007D0120">
            <w:pPr>
              <w:pStyle w:val="ConsPlusNormal"/>
            </w:pPr>
            <w:r>
              <w:t>247367,97</w:t>
            </w:r>
          </w:p>
        </w:tc>
        <w:tc>
          <w:tcPr>
            <w:tcW w:w="1669" w:type="dxa"/>
            <w:vAlign w:val="center"/>
          </w:tcPr>
          <w:p w:rsidR="007D0120" w:rsidRDefault="007D0120">
            <w:pPr>
              <w:pStyle w:val="ConsPlusNormal"/>
            </w:pPr>
            <w:r>
              <w:t>-</w:t>
            </w:r>
          </w:p>
        </w:tc>
        <w:tc>
          <w:tcPr>
            <w:tcW w:w="1999" w:type="dxa"/>
            <w:vAlign w:val="center"/>
          </w:tcPr>
          <w:p w:rsidR="007D0120" w:rsidRDefault="007D0120">
            <w:pPr>
              <w:pStyle w:val="ConsPlusNormal"/>
            </w:pPr>
            <w:r>
              <w:t>-</w:t>
            </w:r>
          </w:p>
        </w:tc>
      </w:tr>
      <w:tr w:rsidR="007D0120">
        <w:tc>
          <w:tcPr>
            <w:tcW w:w="432" w:type="dxa"/>
            <w:vMerge/>
          </w:tcPr>
          <w:p w:rsidR="007D0120" w:rsidRDefault="007D0120"/>
        </w:tc>
        <w:tc>
          <w:tcPr>
            <w:tcW w:w="2608" w:type="dxa"/>
            <w:vMerge/>
          </w:tcPr>
          <w:p w:rsidR="007D0120" w:rsidRDefault="007D0120"/>
        </w:tc>
        <w:tc>
          <w:tcPr>
            <w:tcW w:w="664" w:type="dxa"/>
            <w:vAlign w:val="center"/>
          </w:tcPr>
          <w:p w:rsidR="007D0120" w:rsidRDefault="007D0120">
            <w:pPr>
              <w:pStyle w:val="ConsPlusNormal"/>
            </w:pPr>
            <w:r>
              <w:t>2021</w:t>
            </w:r>
          </w:p>
        </w:tc>
        <w:tc>
          <w:tcPr>
            <w:tcW w:w="1639" w:type="dxa"/>
            <w:vAlign w:val="center"/>
          </w:tcPr>
          <w:p w:rsidR="007D0120" w:rsidRDefault="007D0120">
            <w:pPr>
              <w:pStyle w:val="ConsPlusNormal"/>
            </w:pPr>
            <w:r>
              <w:t>-</w:t>
            </w:r>
          </w:p>
        </w:tc>
        <w:tc>
          <w:tcPr>
            <w:tcW w:w="1669" w:type="dxa"/>
            <w:vAlign w:val="center"/>
          </w:tcPr>
          <w:p w:rsidR="007D0120" w:rsidRDefault="007D0120">
            <w:pPr>
              <w:pStyle w:val="ConsPlusNormal"/>
            </w:pPr>
            <w:r>
              <w:t>1,0</w:t>
            </w:r>
          </w:p>
        </w:tc>
        <w:tc>
          <w:tcPr>
            <w:tcW w:w="1999" w:type="dxa"/>
            <w:vAlign w:val="center"/>
          </w:tcPr>
          <w:p w:rsidR="007D0120" w:rsidRDefault="007D0120">
            <w:pPr>
              <w:pStyle w:val="ConsPlusNormal"/>
            </w:pPr>
            <w:r>
              <w:t>-</w:t>
            </w:r>
          </w:p>
        </w:tc>
      </w:tr>
      <w:tr w:rsidR="007D0120">
        <w:tc>
          <w:tcPr>
            <w:tcW w:w="432" w:type="dxa"/>
            <w:vMerge/>
          </w:tcPr>
          <w:p w:rsidR="007D0120" w:rsidRDefault="007D0120"/>
        </w:tc>
        <w:tc>
          <w:tcPr>
            <w:tcW w:w="2608" w:type="dxa"/>
            <w:vMerge/>
          </w:tcPr>
          <w:p w:rsidR="007D0120" w:rsidRDefault="007D0120"/>
        </w:tc>
        <w:tc>
          <w:tcPr>
            <w:tcW w:w="664" w:type="dxa"/>
            <w:vAlign w:val="center"/>
          </w:tcPr>
          <w:p w:rsidR="007D0120" w:rsidRDefault="007D0120">
            <w:pPr>
              <w:pStyle w:val="ConsPlusNormal"/>
            </w:pPr>
            <w:r>
              <w:t>2022</w:t>
            </w:r>
          </w:p>
        </w:tc>
        <w:tc>
          <w:tcPr>
            <w:tcW w:w="1639" w:type="dxa"/>
            <w:vAlign w:val="center"/>
          </w:tcPr>
          <w:p w:rsidR="007D0120" w:rsidRDefault="007D0120">
            <w:pPr>
              <w:pStyle w:val="ConsPlusNormal"/>
            </w:pPr>
            <w:r>
              <w:t>-</w:t>
            </w:r>
          </w:p>
        </w:tc>
        <w:tc>
          <w:tcPr>
            <w:tcW w:w="1669" w:type="dxa"/>
            <w:vAlign w:val="center"/>
          </w:tcPr>
          <w:p w:rsidR="007D0120" w:rsidRDefault="007D0120">
            <w:pPr>
              <w:pStyle w:val="ConsPlusNormal"/>
            </w:pPr>
            <w:r>
              <w:t>1,0</w:t>
            </w:r>
          </w:p>
        </w:tc>
        <w:tc>
          <w:tcPr>
            <w:tcW w:w="1999" w:type="dxa"/>
            <w:vAlign w:val="center"/>
          </w:tcPr>
          <w:p w:rsidR="007D0120" w:rsidRDefault="007D0120">
            <w:pPr>
              <w:pStyle w:val="ConsPlusNormal"/>
            </w:pPr>
            <w:r>
              <w:t>-</w:t>
            </w:r>
          </w:p>
        </w:tc>
      </w:tr>
    </w:tbl>
    <w:p w:rsidR="007D0120" w:rsidRDefault="007D0120">
      <w:pPr>
        <w:pStyle w:val="ConsPlusNormal"/>
        <w:ind w:firstLine="540"/>
        <w:jc w:val="both"/>
      </w:pPr>
    </w:p>
    <w:p w:rsidR="007D0120" w:rsidRDefault="007D0120">
      <w:pPr>
        <w:pStyle w:val="ConsPlusNormal"/>
        <w:ind w:firstLine="540"/>
        <w:jc w:val="both"/>
      </w:pPr>
    </w:p>
    <w:p w:rsidR="007D0120" w:rsidRDefault="007D0120">
      <w:pPr>
        <w:pStyle w:val="ConsPlusNormal"/>
        <w:pBdr>
          <w:top w:val="single" w:sz="6" w:space="0" w:color="auto"/>
        </w:pBdr>
        <w:spacing w:before="100" w:after="100"/>
        <w:jc w:val="both"/>
        <w:rPr>
          <w:sz w:val="2"/>
          <w:szCs w:val="2"/>
        </w:rPr>
      </w:pPr>
    </w:p>
    <w:p w:rsidR="008C08AC" w:rsidRDefault="008C08AC">
      <w:bookmarkStart w:id="2" w:name="_GoBack"/>
      <w:bookmarkEnd w:id="2"/>
    </w:p>
    <w:sectPr w:rsidR="008C08AC" w:rsidSect="001026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20"/>
    <w:rsid w:val="007D0120"/>
    <w:rsid w:val="008C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65D6-BE1D-4A27-A078-6A3750A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1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103DD9DB58AAA5EA94387C2D7667D118AEC3CF1B448E9F8EF02C84E2184BC73285C636EB0212DF0D40CDA8C7EBD5B591UEa1G" TargetMode="External"/><Relationship Id="rId3" Type="http://schemas.openxmlformats.org/officeDocument/2006/relationships/webSettings" Target="webSettings.xml"/><Relationship Id="rId7" Type="http://schemas.openxmlformats.org/officeDocument/2006/relationships/hyperlink" Target="consultantplus://offline/ref=EE103DD9DB58AAA5EA9426713B1A30DE1DA49FC5184487CAD4A72AD3BD484D9260C5986FB84759D20E5FD1A8C4UFa5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103DD9DB58AAA5EA9426713B1A30DE1DA69AC3104387CAD4A72AD3BD484D9260C5986FB84759D20E5FD1A8C4UFa5G" TargetMode="External"/><Relationship Id="rId11" Type="http://schemas.openxmlformats.org/officeDocument/2006/relationships/fontTable" Target="fontTable.xml"/><Relationship Id="rId5" Type="http://schemas.openxmlformats.org/officeDocument/2006/relationships/hyperlink" Target="consultantplus://offline/ref=EE103DD9DB58AAA5EA9426713B1A30DE1DA19FC21D4587CAD4A72AD3BD484D9260C5986FB84759D20E5FD1A8C4UFa5G" TargetMode="External"/><Relationship Id="rId10" Type="http://schemas.openxmlformats.org/officeDocument/2006/relationships/hyperlink" Target="consultantplus://offline/ref=EE103DD9DB58AAA5EA9426713B1A30DE1DA79BC4104087CAD4A72AD3BD484D9272C5C063BD434ED0041582EC93F8D5B48DE1C959724034U9a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103DD9DB58AAA5EA9426713B1A30DE1DA79BC4104087CAD4A72AD3BD484D9272C5C063BE4047D7041582EC93F8D5B48DE1C959724034U9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 Антон Викторович</dc:creator>
  <cp:keywords/>
  <dc:description/>
  <cp:lastModifiedBy>Елизаров Антон Викторович</cp:lastModifiedBy>
  <cp:revision>1</cp:revision>
  <dcterms:created xsi:type="dcterms:W3CDTF">2020-01-21T06:26:00Z</dcterms:created>
  <dcterms:modified xsi:type="dcterms:W3CDTF">2020-01-21T06:26:00Z</dcterms:modified>
</cp:coreProperties>
</file>