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C0" w:rsidRDefault="005164C0" w:rsidP="000F53C1">
      <w:pPr>
        <w:rPr>
          <w:b/>
          <w:sz w:val="32"/>
          <w:szCs w:val="32"/>
          <w:lang w:val="ru-RU"/>
        </w:rPr>
      </w:pPr>
    </w:p>
    <w:p w:rsidR="005164C0" w:rsidRPr="00ED56F6" w:rsidRDefault="005164C0" w:rsidP="005164C0">
      <w:pPr>
        <w:jc w:val="center"/>
        <w:rPr>
          <w:b/>
          <w:sz w:val="32"/>
          <w:szCs w:val="32"/>
          <w:lang w:val="ru-RU"/>
        </w:rPr>
      </w:pPr>
      <w:r w:rsidRPr="00ED56F6">
        <w:rPr>
          <w:b/>
          <w:sz w:val="32"/>
          <w:szCs w:val="32"/>
          <w:lang w:val="ru-RU"/>
        </w:rPr>
        <w:t xml:space="preserve">ПОСТАНОВЛЕНИЕ </w:t>
      </w:r>
      <w:r>
        <w:rPr>
          <w:b/>
          <w:sz w:val="32"/>
          <w:szCs w:val="32"/>
          <w:lang w:val="ru-RU"/>
        </w:rPr>
        <w:t>- проект</w:t>
      </w:r>
    </w:p>
    <w:p w:rsidR="005164C0" w:rsidRPr="00ED56F6" w:rsidRDefault="005164C0" w:rsidP="005164C0">
      <w:pPr>
        <w:jc w:val="center"/>
        <w:rPr>
          <w:sz w:val="24"/>
          <w:szCs w:val="24"/>
          <w:lang w:val="ru-RU"/>
        </w:rPr>
      </w:pPr>
    </w:p>
    <w:p w:rsidR="005164C0" w:rsidRPr="00ED56F6" w:rsidRDefault="005164C0" w:rsidP="005164C0">
      <w:pPr>
        <w:rPr>
          <w:sz w:val="24"/>
          <w:szCs w:val="24"/>
          <w:lang w:val="ru-RU"/>
        </w:rPr>
      </w:pPr>
    </w:p>
    <w:p w:rsidR="005164C0" w:rsidRPr="00ED56F6" w:rsidRDefault="005164C0" w:rsidP="005164C0">
      <w:pPr>
        <w:rPr>
          <w:lang w:val="ru-RU"/>
        </w:rPr>
      </w:pPr>
    </w:p>
    <w:p w:rsidR="005164C0" w:rsidRPr="00ED56F6" w:rsidRDefault="005164C0" w:rsidP="005164C0">
      <w:pPr>
        <w:rPr>
          <w:sz w:val="28"/>
          <w:szCs w:val="28"/>
          <w:lang w:val="ru-RU"/>
        </w:rPr>
      </w:pPr>
      <w:r w:rsidRPr="00ED56F6">
        <w:rPr>
          <w:sz w:val="28"/>
          <w:szCs w:val="28"/>
          <w:u w:val="single"/>
          <w:lang w:val="ru-RU"/>
        </w:rPr>
        <w:t xml:space="preserve">«       »                      2020 года </w:t>
      </w:r>
      <w:r w:rsidRPr="00ED56F6">
        <w:rPr>
          <w:sz w:val="28"/>
          <w:szCs w:val="28"/>
          <w:lang w:val="ru-RU"/>
        </w:rPr>
        <w:t xml:space="preserve">                                                                        № </w:t>
      </w:r>
    </w:p>
    <w:p w:rsidR="005164C0" w:rsidRPr="00ED56F6" w:rsidRDefault="005164C0" w:rsidP="005164C0">
      <w:pPr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                г.Лянтор</w:t>
      </w:r>
    </w:p>
    <w:p w:rsidR="005164C0" w:rsidRPr="00ED56F6" w:rsidRDefault="005164C0" w:rsidP="005164C0">
      <w:pPr>
        <w:rPr>
          <w:sz w:val="28"/>
          <w:szCs w:val="28"/>
          <w:lang w:val="ru-RU"/>
        </w:rPr>
      </w:pP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Об утверждении муниципальной программы  </w:t>
      </w: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«Развитие муниципальной службы в </w:t>
      </w: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городском поселении Лянтор в 2021-2025 годах»</w:t>
      </w: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</w:p>
    <w:p w:rsidR="005164C0" w:rsidRPr="00ED56F6" w:rsidRDefault="005164C0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</w:t>
      </w:r>
      <w:r w:rsidR="00E82E8A">
        <w:rPr>
          <w:sz w:val="28"/>
          <w:szCs w:val="28"/>
          <w:lang w:val="ru-RU"/>
        </w:rPr>
        <w:t>04</w:t>
      </w:r>
      <w:r w:rsidRPr="00ED56F6">
        <w:rPr>
          <w:sz w:val="28"/>
          <w:szCs w:val="28"/>
          <w:lang w:val="ru-RU"/>
        </w:rPr>
        <w:t>.0</w:t>
      </w:r>
      <w:r w:rsidR="00E82E8A">
        <w:rPr>
          <w:sz w:val="28"/>
          <w:szCs w:val="28"/>
          <w:lang w:val="ru-RU"/>
        </w:rPr>
        <w:t>8.2020</w:t>
      </w:r>
      <w:r w:rsidRPr="00ED56F6">
        <w:rPr>
          <w:sz w:val="28"/>
          <w:szCs w:val="28"/>
          <w:lang w:val="ru-RU"/>
        </w:rPr>
        <w:t xml:space="preserve"> № 6</w:t>
      </w:r>
      <w:r w:rsidR="00E82E8A">
        <w:rPr>
          <w:sz w:val="28"/>
          <w:szCs w:val="28"/>
          <w:lang w:val="ru-RU"/>
        </w:rPr>
        <w:t>5</w:t>
      </w:r>
      <w:r w:rsidRPr="00ED56F6">
        <w:rPr>
          <w:sz w:val="28"/>
          <w:szCs w:val="28"/>
          <w:lang w:val="ru-RU"/>
        </w:rPr>
        <w:t>3 «</w:t>
      </w:r>
      <w:r w:rsidR="00E82E8A">
        <w:rPr>
          <w:sz w:val="28"/>
          <w:szCs w:val="28"/>
          <w:lang w:val="ru-RU"/>
        </w:rPr>
        <w:t>Об утверждении порядка принятия решений о разработке, формировании и реализации муниципальных программ</w:t>
      </w:r>
      <w:r w:rsidRPr="00ED56F6">
        <w:rPr>
          <w:sz w:val="28"/>
          <w:szCs w:val="28"/>
          <w:lang w:val="ru-RU"/>
        </w:rPr>
        <w:t xml:space="preserve"> городского поселения Лянтор»:</w:t>
      </w:r>
    </w:p>
    <w:p w:rsidR="005164C0" w:rsidRPr="00ED56F6" w:rsidRDefault="005164C0" w:rsidP="005164C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1. Утвердить муниципальную программу «Развитие муниципальной службы в городском поселении Лянтор в 2021-2025 годах» согласно приложению к настоящему постановлению.</w:t>
      </w:r>
    </w:p>
    <w:p w:rsidR="005164C0" w:rsidRPr="00ED56F6" w:rsidRDefault="00E82E8A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="005164C0"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="005164C0"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5164C0" w:rsidRPr="00ED56F6" w:rsidRDefault="005164C0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 w:rsidR="00E82E8A"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5164C0" w:rsidRPr="00ED56F6" w:rsidRDefault="005164C0" w:rsidP="002D2E28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4. Контроль за выполнением постановления возложить на начальника управления по организации деятельности Бахареву Н.Н.</w:t>
      </w:r>
    </w:p>
    <w:p w:rsidR="005164C0" w:rsidRDefault="005164C0" w:rsidP="005164C0">
      <w:pPr>
        <w:jc w:val="both"/>
        <w:outlineLvl w:val="0"/>
        <w:rPr>
          <w:sz w:val="28"/>
          <w:szCs w:val="28"/>
          <w:lang w:val="ru-RU"/>
        </w:rPr>
      </w:pPr>
    </w:p>
    <w:p w:rsidR="000F53C1" w:rsidRPr="00ED56F6" w:rsidRDefault="000F53C1" w:rsidP="005164C0">
      <w:pPr>
        <w:jc w:val="both"/>
        <w:outlineLvl w:val="0"/>
        <w:rPr>
          <w:sz w:val="28"/>
          <w:szCs w:val="28"/>
          <w:lang w:val="ru-RU"/>
        </w:rPr>
      </w:pPr>
    </w:p>
    <w:p w:rsidR="005164C0" w:rsidRDefault="005164C0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5164C0" w:rsidRDefault="005164C0" w:rsidP="005164C0">
      <w:pPr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города                                                                                 </w:t>
      </w:r>
      <w:r w:rsidR="000F53C1">
        <w:rPr>
          <w:sz w:val="28"/>
          <w:szCs w:val="28"/>
          <w:lang w:val="ru-RU"/>
        </w:rPr>
        <w:t xml:space="preserve">       </w:t>
      </w:r>
      <w:r w:rsidRPr="00ED56F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Л.В.</w:t>
      </w:r>
      <w:r w:rsidR="000F53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Зеленская</w:t>
      </w:r>
    </w:p>
    <w:p w:rsidR="005164C0" w:rsidRDefault="005164C0" w:rsidP="005164C0">
      <w:pPr>
        <w:jc w:val="both"/>
        <w:outlineLvl w:val="0"/>
        <w:rPr>
          <w:sz w:val="28"/>
          <w:szCs w:val="28"/>
          <w:lang w:val="ru-RU"/>
        </w:rPr>
      </w:pPr>
    </w:p>
    <w:p w:rsidR="00ED56F6" w:rsidRDefault="00ED56F6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D2E28" w:rsidRDefault="002D2E28" w:rsidP="002D2E2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ru-RU"/>
        </w:rPr>
      </w:pPr>
    </w:p>
    <w:p w:rsidR="00ED56F6" w:rsidRDefault="00ED56F6" w:rsidP="00ED56F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ru-RU"/>
        </w:rPr>
      </w:pPr>
    </w:p>
    <w:p w:rsidR="00AD3976" w:rsidRDefault="00AD3976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4"/>
          <w:szCs w:val="24"/>
          <w:lang w:val="ru-RU"/>
        </w:rPr>
      </w:pPr>
    </w:p>
    <w:p w:rsidR="000F53C1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 xml:space="preserve">Приложение к постановлению Администрации городского </w:t>
      </w:r>
    </w:p>
    <w:p w:rsidR="000F53C1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bookmarkStart w:id="0" w:name="_GoBack"/>
      <w:bookmarkEnd w:id="0"/>
      <w:r w:rsidRPr="00AD3976">
        <w:rPr>
          <w:rFonts w:eastAsiaTheme="minorEastAsia"/>
          <w:sz w:val="22"/>
          <w:szCs w:val="22"/>
          <w:lang w:val="ru-RU"/>
        </w:rPr>
        <w:t>от «__»______2020 года №____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892703" w:rsidRDefault="00A249DE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p w:rsidR="00AD3976" w:rsidRPr="00AD3976" w:rsidRDefault="00AD3976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0F53C1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0F53C1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D5777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</w:t>
            </w:r>
          </w:p>
        </w:tc>
      </w:tr>
      <w:tr w:rsidR="00D745C0" w:rsidRPr="000F53C1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0F53C1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службе,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0F53C1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муниципальной службой,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2021-2025 год</w:t>
            </w:r>
          </w:p>
        </w:tc>
      </w:tr>
      <w:tr w:rsidR="00D745C0" w:rsidRPr="000F53C1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2021 - 2025 годах -  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35</w:t>
            </w:r>
            <w:r w:rsidR="00E160CA">
              <w:rPr>
                <w:sz w:val="24"/>
                <w:szCs w:val="24"/>
                <w:lang w:val="ru-RU"/>
              </w:rPr>
              <w:t>0</w:t>
            </w:r>
            <w:r w:rsidR="0055505C">
              <w:rPr>
                <w:sz w:val="24"/>
                <w:szCs w:val="24"/>
                <w:lang w:val="ru-RU"/>
              </w:rPr>
              <w:t>6</w:t>
            </w:r>
            <w:r w:rsidR="00E160CA">
              <w:rPr>
                <w:sz w:val="24"/>
                <w:szCs w:val="24"/>
                <w:lang w:val="ru-RU"/>
              </w:rPr>
              <w:t>,</w:t>
            </w:r>
            <w:r w:rsidR="0055505C">
              <w:rPr>
                <w:sz w:val="24"/>
                <w:szCs w:val="24"/>
                <w:lang w:val="ru-RU"/>
              </w:rPr>
              <w:t>93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>
              <w:rPr>
                <w:sz w:val="24"/>
                <w:szCs w:val="24"/>
                <w:lang w:val="ru-RU"/>
              </w:rPr>
              <w:t>кого поселения Лянтор – 35</w:t>
            </w:r>
            <w:r w:rsidR="00E160CA">
              <w:rPr>
                <w:sz w:val="24"/>
                <w:szCs w:val="24"/>
                <w:lang w:val="ru-RU"/>
              </w:rPr>
              <w:t>0</w:t>
            </w:r>
            <w:r w:rsidR="0055505C">
              <w:rPr>
                <w:sz w:val="24"/>
                <w:szCs w:val="24"/>
                <w:lang w:val="ru-RU"/>
              </w:rPr>
              <w:t>6</w:t>
            </w:r>
            <w:r w:rsidR="00E160CA">
              <w:rPr>
                <w:sz w:val="24"/>
                <w:szCs w:val="24"/>
                <w:lang w:val="ru-RU"/>
              </w:rPr>
              <w:t>,</w:t>
            </w:r>
            <w:r w:rsidR="0055505C">
              <w:rPr>
                <w:sz w:val="24"/>
                <w:szCs w:val="24"/>
                <w:lang w:val="ru-RU"/>
              </w:rPr>
              <w:t>9</w:t>
            </w:r>
            <w:r w:rsidR="00520FBB">
              <w:rPr>
                <w:sz w:val="24"/>
                <w:szCs w:val="24"/>
                <w:lang w:val="ru-RU"/>
              </w:rPr>
              <w:t>2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- 2021 год – 6</w:t>
            </w:r>
            <w:r w:rsidR="00E160CA">
              <w:rPr>
                <w:sz w:val="24"/>
                <w:szCs w:val="24"/>
                <w:lang w:val="ru-RU"/>
              </w:rPr>
              <w:t>72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15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- 2022 год – 75</w:t>
            </w:r>
            <w:r w:rsidR="00E160CA">
              <w:rPr>
                <w:sz w:val="24"/>
                <w:szCs w:val="24"/>
                <w:lang w:val="ru-RU"/>
              </w:rPr>
              <w:t>0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17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- 2023 год – 6</w:t>
            </w:r>
            <w:r w:rsidR="00E160CA">
              <w:rPr>
                <w:sz w:val="24"/>
                <w:szCs w:val="24"/>
                <w:lang w:val="ru-RU"/>
              </w:rPr>
              <w:t>57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36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794AC7">
              <w:rPr>
                <w:sz w:val="24"/>
                <w:szCs w:val="24"/>
                <w:lang w:val="ru-RU"/>
              </w:rPr>
              <w:t>76</w:t>
            </w:r>
            <w:r w:rsidR="0055505C">
              <w:rPr>
                <w:sz w:val="24"/>
                <w:szCs w:val="24"/>
                <w:lang w:val="ru-RU"/>
              </w:rPr>
              <w:t>4,</w:t>
            </w:r>
            <w:r w:rsidR="00E160CA">
              <w:rPr>
                <w:sz w:val="24"/>
                <w:szCs w:val="24"/>
                <w:lang w:val="ru-RU"/>
              </w:rPr>
              <w:t>42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- 2025 год – 66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8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="00E160C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0F53C1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2630A5" w:rsidRPr="00D566DC">
              <w:rPr>
                <w:sz w:val="24"/>
                <w:szCs w:val="24"/>
                <w:lang w:val="ru-RU"/>
              </w:rPr>
              <w:t>58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от 20.07.2007 № 113-оз «Об отдельных вопросах муниципальной службы в Ханты-Мансийском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программы: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повышения эффективности деятельности органов местного самоуправления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города, необходима заблаговременная подготовка, направленная на формирование кадрового потенциала Администрации города.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2007 г.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муниципальными служащими Администрации городского поселения Лянтор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8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программы: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DF78F8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повышение</w:t>
      </w:r>
      <w:r w:rsidR="00EC6080" w:rsidRPr="00871A04">
        <w:rPr>
          <w:sz w:val="28"/>
          <w:szCs w:val="28"/>
          <w:lang w:val="ru-RU"/>
        </w:rPr>
        <w:t xml:space="preserve"> </w:t>
      </w:r>
      <w:r w:rsidR="002402C4" w:rsidRPr="00871A04">
        <w:rPr>
          <w:sz w:val="28"/>
          <w:szCs w:val="28"/>
          <w:lang w:val="ru-RU"/>
        </w:rPr>
        <w:t xml:space="preserve">уровня </w:t>
      </w:r>
      <w:r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0F53C1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эффективности и результативности деятельности лиц замещающих должности муниципальной службы, лиц замещающих муниципальные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должности, лиц замещающих должности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программы: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законодательства, %</w:t>
      </w:r>
      <w:r w:rsidRPr="00892703">
        <w:rPr>
          <w:rFonts w:eastAsiaTheme="minorEastAsia"/>
          <w:sz w:val="28"/>
          <w:szCs w:val="28"/>
          <w:lang w:val="ru-RU"/>
        </w:rPr>
        <w:t>;</w:t>
      </w:r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 соблюдающих требования антикоррупционного законодательства, ограничения и запреты связанные с муниципальной службой,%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 замещающих должности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0F53C1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0F53C1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профессиональным требованиям действующего 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 (</w:t>
            </w:r>
            <w:r w:rsidRPr="00C0739D">
              <w:rPr>
                <w:noProof/>
                <w:position w:val="-12"/>
                <w:sz w:val="24"/>
                <w:szCs w:val="24"/>
              </w:rPr>
              <w:lastRenderedPageBreak/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0F53C1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 соблюдающих требования антикоррупционного законодательства, ограничения и запреты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0F53C1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муниципальных служащих и лиц замещающих должности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прошедших диспансеризацию и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программы: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приведены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745C00" w:rsidRPr="00871A04">
        <w:rPr>
          <w:rFonts w:eastAsiaTheme="minorHAnsi"/>
          <w:sz w:val="28"/>
          <w:szCs w:val="28"/>
          <w:lang w:val="ru-RU" w:eastAsia="en-US"/>
        </w:rPr>
        <w:t>е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средствам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организация работы по проведению специальной оценки условий </w:t>
      </w:r>
      <w:r w:rsidRPr="00871A04">
        <w:rPr>
          <w:sz w:val="28"/>
          <w:szCs w:val="28"/>
          <w:lang w:val="ru-RU"/>
        </w:rPr>
        <w:lastRenderedPageBreak/>
        <w:t>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93F53" w:rsidRPr="000F53C1" w:rsidTr="00A846C5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0F53C1" w:rsidTr="00A846C5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344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3344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A846C5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344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3344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0F53C1" w:rsidTr="00A846C5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3344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0F53C1" w:rsidTr="00D26AD6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9951D8" w:rsidRPr="00B65362" w:rsidRDefault="00B65362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 прошедших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городского поселения Лянтор</w:t>
            </w:r>
          </w:p>
        </w:tc>
        <w:tc>
          <w:tcPr>
            <w:tcW w:w="3344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0F53C1" w:rsidTr="00A846C5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>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344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3344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0F53C1" w:rsidTr="00A846C5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3344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0F53C1" w:rsidTr="00A846C5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A1619E" w:rsidRPr="00A1619E" w:rsidRDefault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</w:p>
        </w:tc>
        <w:tc>
          <w:tcPr>
            <w:tcW w:w="3344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0F53C1" w:rsidTr="00A846C5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лиц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3344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0F53C1" w:rsidTr="00A846C5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lastRenderedPageBreak/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344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3344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Декларация соответствия условий труда государственным 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программы: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</w:rPr>
        <w:t> </w:t>
      </w:r>
      <w:r w:rsidRPr="00871A04">
        <w:rPr>
          <w:sz w:val="28"/>
          <w:szCs w:val="28"/>
          <w:lang w:val="ru-RU"/>
        </w:rPr>
        <w:t>5</w:t>
      </w:r>
      <w:r w:rsidR="00AD3976">
        <w:rPr>
          <w:sz w:val="28"/>
          <w:szCs w:val="28"/>
          <w:lang w:val="ru-RU"/>
        </w:rPr>
        <w:t>0</w:t>
      </w:r>
      <w:r w:rsidR="0055505C">
        <w:rPr>
          <w:sz w:val="28"/>
          <w:szCs w:val="28"/>
          <w:lang w:val="ru-RU"/>
        </w:rPr>
        <w:t>6</w:t>
      </w:r>
      <w:r w:rsidRPr="00871A04">
        <w:rPr>
          <w:sz w:val="28"/>
          <w:szCs w:val="28"/>
          <w:lang w:val="ru-RU"/>
        </w:rPr>
        <w:t>,</w:t>
      </w:r>
      <w:r w:rsidR="0055505C">
        <w:rPr>
          <w:sz w:val="28"/>
          <w:szCs w:val="28"/>
          <w:lang w:val="ru-RU"/>
        </w:rPr>
        <w:t>93</w:t>
      </w:r>
      <w:r w:rsidRPr="00871A04">
        <w:rPr>
          <w:sz w:val="28"/>
          <w:szCs w:val="28"/>
          <w:lang w:val="ru-RU"/>
        </w:rPr>
        <w:t xml:space="preserve"> 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за счёт средств бюджета городского поселения Лянтор – 3</w:t>
      </w:r>
      <w:r w:rsidRPr="00871A04">
        <w:rPr>
          <w:sz w:val="28"/>
          <w:szCs w:val="28"/>
        </w:rPr>
        <w:t> </w:t>
      </w:r>
      <w:r w:rsidRPr="00871A04">
        <w:rPr>
          <w:sz w:val="28"/>
          <w:szCs w:val="28"/>
          <w:lang w:val="ru-RU"/>
        </w:rPr>
        <w:t>5</w:t>
      </w:r>
      <w:r w:rsidR="00AD3976">
        <w:rPr>
          <w:sz w:val="28"/>
          <w:szCs w:val="28"/>
          <w:lang w:val="ru-RU"/>
        </w:rPr>
        <w:t>0</w:t>
      </w:r>
      <w:r w:rsidR="0055505C">
        <w:rPr>
          <w:sz w:val="28"/>
          <w:szCs w:val="28"/>
          <w:lang w:val="ru-RU"/>
        </w:rPr>
        <w:t>6,9</w:t>
      </w:r>
      <w:r w:rsidR="00B86AB2">
        <w:rPr>
          <w:sz w:val="28"/>
          <w:szCs w:val="28"/>
          <w:lang w:val="ru-RU"/>
        </w:rPr>
        <w:t>2</w:t>
      </w:r>
      <w:r w:rsidR="00FB5880" w:rsidRPr="00871A04">
        <w:rPr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>- 2021 год – 672,15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- 2022 год – 750,17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- 2023 год – 657,36 тысяч рублей;</w:t>
      </w:r>
      <w:r w:rsidRPr="00AD3976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- 2024 год – 76</w:t>
      </w:r>
      <w:r w:rsidR="0055505C">
        <w:rPr>
          <w:sz w:val="28"/>
          <w:szCs w:val="28"/>
          <w:lang w:val="ru-RU"/>
        </w:rPr>
        <w:t>4</w:t>
      </w:r>
      <w:r w:rsidRPr="00AD3976">
        <w:rPr>
          <w:sz w:val="28"/>
          <w:szCs w:val="28"/>
          <w:lang w:val="ru-RU"/>
        </w:rPr>
        <w:t>,42 тысяч рублей;</w:t>
      </w:r>
    </w:p>
    <w:p w:rsidR="00467237" w:rsidRPr="00AD3976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- 2025 год – 6</w:t>
      </w:r>
      <w:r w:rsidR="0055505C">
        <w:rPr>
          <w:sz w:val="28"/>
          <w:szCs w:val="28"/>
          <w:lang w:val="ru-RU"/>
        </w:rPr>
        <w:t>62</w:t>
      </w:r>
      <w:r w:rsidRPr="00AD3976">
        <w:rPr>
          <w:sz w:val="28"/>
          <w:szCs w:val="28"/>
          <w:lang w:val="ru-RU"/>
        </w:rPr>
        <w:t>,8</w:t>
      </w:r>
      <w:r w:rsidR="0055505C">
        <w:rPr>
          <w:sz w:val="28"/>
          <w:szCs w:val="28"/>
          <w:lang w:val="ru-RU"/>
        </w:rPr>
        <w:t>2</w:t>
      </w:r>
      <w:r w:rsidRPr="00AD397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.</w:t>
      </w: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>. 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дарственного сектора экономики: 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повышение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lastRenderedPageBreak/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39319F" w:rsidRPr="00871A04" w:rsidRDefault="00C36A18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39319F" w:rsidRPr="00871A04">
        <w:rPr>
          <w:sz w:val="28"/>
          <w:szCs w:val="28"/>
          <w:lang w:val="ru-RU"/>
        </w:rPr>
        <w:t>Механизм реализации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Программы является управление по организации деятельности, соисполнителем Программы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Координатор осуществляет непосредственный контроль за реализацией Программы, эффективностью и результативностью реализации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3.3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3.4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Pr="00871A04">
        <w:rPr>
          <w:rFonts w:eastAsiaTheme="minorEastAsia"/>
          <w:sz w:val="28"/>
          <w:szCs w:val="28"/>
          <w:lang w:val="ru-RU"/>
        </w:rPr>
        <w:t>5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3.6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3.7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3.8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3.9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3869D4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10.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183640">
          <w:pgSz w:w="11905" w:h="16837"/>
          <w:pgMar w:top="799" w:right="565" w:bottom="1100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Целевое значение показателя на момент окончания действия муници-пальной програм-мы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222C3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35A" w:rsidRPr="00EC2506" w:rsidRDefault="00FD3663" w:rsidP="000F53C1">
                  <w:pPr>
                    <w:framePr w:hSpace="180" w:wrap="around" w:hAnchor="margin" w:y="-552"/>
                  </w:pPr>
                  <w:r>
                    <w:t>Всего, в том числе: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="00630A4D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5</w:t>
                  </w:r>
                  <w:r w:rsidR="007A3E8C">
                    <w:rPr>
                      <w:lang w:val="ru-RU"/>
                    </w:rPr>
                    <w:t>0</w:t>
                  </w:r>
                  <w:r w:rsidR="0055505C">
                    <w:rPr>
                      <w:lang w:val="ru-RU"/>
                    </w:rPr>
                    <w:t>6</w:t>
                  </w:r>
                  <w:r w:rsidR="00630A4D"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</w:t>
                  </w:r>
                  <w:r w:rsidR="00B86AB2">
                    <w:rPr>
                      <w:lang w:val="ru-RU"/>
                    </w:rPr>
                    <w:t>2</w:t>
                  </w:r>
                </w:p>
                <w:p w:rsidR="00A6035A" w:rsidRPr="00EC2506" w:rsidRDefault="00A6035A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160C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672,15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750,17</w:t>
                  </w:r>
                </w:p>
                <w:p w:rsidR="00A6035A" w:rsidRPr="00EC2506" w:rsidRDefault="00A6035A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35A" w:rsidRPr="00A6035A" w:rsidRDefault="00E160CA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657,36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35A" w:rsidRPr="00A6035A" w:rsidRDefault="00E160CA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155" w:rsidRDefault="00804155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A6035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</w:t>
                  </w:r>
                  <w:r w:rsidR="0055505C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,8</w:t>
                  </w:r>
                  <w:r w:rsidR="0055505C">
                    <w:rPr>
                      <w:lang w:val="ru-RU"/>
                    </w:rPr>
                    <w:t>2</w:t>
                  </w:r>
                </w:p>
                <w:p w:rsidR="00A6035A" w:rsidRPr="00EC2506" w:rsidRDefault="00A6035A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E160CA" w:rsidRPr="00EC2506" w:rsidTr="00804155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60CA" w:rsidRPr="002D2EB1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60CA" w:rsidRPr="002D2EB1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0F53C1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60CA" w:rsidRPr="00A6035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3 50</w:t>
                  </w:r>
                  <w:r w:rsidR="0055505C">
                    <w:rPr>
                      <w:lang w:val="ru-RU"/>
                    </w:rPr>
                    <w:t>6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</w:t>
                  </w:r>
                  <w:r w:rsidR="00B86AB2">
                    <w:rPr>
                      <w:lang w:val="ru-RU"/>
                    </w:rPr>
                    <w:t>2</w:t>
                  </w:r>
                </w:p>
                <w:p w:rsidR="00E160CA" w:rsidRPr="00804155" w:rsidRDefault="00E160CA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160C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672,15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A6035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750,17</w:t>
                  </w:r>
                </w:p>
                <w:p w:rsidR="00E160CA" w:rsidRPr="00EC2506" w:rsidRDefault="00E160CA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0CA" w:rsidRPr="00A6035A" w:rsidRDefault="00E160CA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657,36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0CA" w:rsidRPr="00A6035A" w:rsidRDefault="0055505C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764</w:t>
                  </w:r>
                  <w:r w:rsidR="00E160CA">
                    <w:rPr>
                      <w:lang w:val="ru-RU"/>
                    </w:rPr>
                    <w:t>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E160CA" w:rsidRPr="00EC2506" w:rsidRDefault="00E160CA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66</w:t>
                  </w:r>
                  <w:r w:rsidR="0055505C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0F53C1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Цель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0F53C1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службе,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124425" w:rsidRPr="00FD5430" w:rsidTr="002B5446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124425" w:rsidRPr="00EC2506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124425" w:rsidRPr="00F94C02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 w:rsidR="00DA5FEC"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425" w:rsidRPr="00EC2506" w:rsidRDefault="00124425" w:rsidP="000F53C1">
                  <w:pPr>
                    <w:framePr w:hSpace="180" w:wrap="around" w:hAnchor="margin" w:y="-552"/>
                  </w:pPr>
                  <w:r w:rsidRPr="00EC2506">
                    <w:lastRenderedPageBreak/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124425" w:rsidRPr="00EC2506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2</w:t>
                  </w:r>
                  <w:r w:rsidR="00365A34" w:rsidRPr="00D566DC">
                    <w:rPr>
                      <w:lang w:val="ru-RU"/>
                    </w:rPr>
                    <w:t> </w:t>
                  </w:r>
                  <w:r w:rsidRPr="00D566DC">
                    <w:rPr>
                      <w:lang w:val="ru-RU"/>
                    </w:rPr>
                    <w:t>122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 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425" w:rsidRPr="00D566DC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434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425" w:rsidRPr="00D566DC" w:rsidRDefault="00124425" w:rsidP="000F53C1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0F53C1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124425" w:rsidRDefault="00124425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124425" w:rsidRPr="00F94C02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365A34" w:rsidRPr="00EC2506" w:rsidTr="00B94FCB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365A34" w:rsidRPr="002D2EB1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365A34" w:rsidRPr="002D2EB1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65A34" w:rsidRPr="00EC2506" w:rsidRDefault="004B00E2" w:rsidP="000F53C1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365A34" w:rsidRPr="00EC2506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2 122, 00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5A34" w:rsidRPr="00D566DC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434,00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5A34" w:rsidRPr="00D566DC" w:rsidRDefault="00365A34" w:rsidP="000F53C1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0F53C1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65A34" w:rsidRDefault="00365A34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365A34" w:rsidRPr="00EC2506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0F53C1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0F53C1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0F53C1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0F53C1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0F53C1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%.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0F53C1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 xml:space="preserve">Задача </w:t>
                  </w:r>
                  <w:r w:rsidRPr="00B81EE3">
                    <w:rPr>
                      <w:b/>
                    </w:rPr>
                    <w:lastRenderedPageBreak/>
                    <w:t>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0F53C1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запреты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F4039" w:rsidRPr="00EC2506" w:rsidTr="00D2530E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3F4039" w:rsidRPr="00545979" w:rsidRDefault="003F4039" w:rsidP="000F53C1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3F4039" w:rsidRPr="00124425" w:rsidRDefault="003F4039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F4039" w:rsidRPr="00EC2506" w:rsidRDefault="003F4039" w:rsidP="000F53C1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F4039" w:rsidRPr="00545979" w:rsidRDefault="003F4039" w:rsidP="000F53C1">
                  <w:pPr>
                    <w:framePr w:hSpace="180" w:wrap="around" w:hAnchor="margin" w:y="-552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3F4039" w:rsidRPr="003F4039" w:rsidRDefault="003F4039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217,50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3F4039" w:rsidRPr="00365A34" w:rsidRDefault="003F4039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t>4</w:t>
                  </w:r>
                  <w:r>
                    <w:rPr>
                      <w:lang w:val="ru-RU"/>
                    </w:rPr>
                    <w:t>3,</w:t>
                  </w:r>
                  <w: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F4039" w:rsidRPr="000959D6" w:rsidRDefault="003F4039" w:rsidP="000F53C1">
                  <w:pPr>
                    <w:framePr w:hSpace="180" w:wrap="around" w:hAnchor="margin" w:y="-552"/>
                  </w:pPr>
                  <w:r>
                    <w:t>4</w:t>
                  </w:r>
                  <w:r>
                    <w:rPr>
                      <w:lang w:val="ru-RU"/>
                    </w:rPr>
                    <w:t>3,</w:t>
                  </w:r>
                  <w: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Default="003F4039" w:rsidP="000F53C1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Default="003F4039" w:rsidP="000F53C1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4039" w:rsidRDefault="003F4039" w:rsidP="000F53C1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F4039" w:rsidRPr="000959D6" w:rsidRDefault="003F4039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3F4039" w:rsidRPr="00545979" w:rsidRDefault="003F4039" w:rsidP="000F53C1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B94FCB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24425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0F53C1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</w:pPr>
                  <w:r w:rsidRPr="004341D5">
                    <w:t>(тыс. руб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5A34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t>2</w:t>
                  </w:r>
                  <w:r w:rsidR="003F4039">
                    <w:rPr>
                      <w:lang w:val="ru-RU"/>
                    </w:rPr>
                    <w:t>17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5A34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0959D6" w:rsidRDefault="00CF3D8B" w:rsidP="000F53C1">
                  <w:pPr>
                    <w:framePr w:hSpace="180" w:wrap="around" w:hAnchor="margin" w:y="-552"/>
                  </w:pPr>
                  <w:r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0959D6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F94C02" w:rsidRDefault="00CF3D8B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</w:p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r w:rsidRPr="00124425">
                      <w:rPr>
                        <w:lang w:val="ru-RU"/>
                      </w:rPr>
                      <w:t>план</w:t>
                    </w:r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0F53C1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0F53C1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0F53C1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0F53C1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3F4039" w:rsidRPr="001A6291" w:rsidTr="00D2530E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3F4039" w:rsidRPr="00545979" w:rsidRDefault="003F4039" w:rsidP="000F53C1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3F4039" w:rsidRPr="001A6291" w:rsidRDefault="003F4039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 w:rsidR="001F37F5"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F4039" w:rsidRPr="00EC2506" w:rsidRDefault="003F4039" w:rsidP="000F53C1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F4039" w:rsidRPr="00545979" w:rsidRDefault="003F4039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3F4039" w:rsidRPr="00DA5FEC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1 114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1</w:t>
                  </w:r>
                  <w:r w:rsidR="003F4039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3F4039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45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F4039" w:rsidRPr="005C0FFD" w:rsidRDefault="00447A7D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284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67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87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287,72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4039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3F4039" w:rsidRPr="000D5734" w:rsidRDefault="003F4039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3F4039" w:rsidRPr="00F94C02" w:rsidRDefault="003F403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47A7D" w:rsidRPr="001A6291" w:rsidTr="00D2530E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447A7D" w:rsidRPr="00130F7F" w:rsidRDefault="00447A7D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447A7D" w:rsidRPr="001A6291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447A7D" w:rsidRPr="00EC2506" w:rsidRDefault="00447A7D" w:rsidP="000F53C1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447A7D" w:rsidRPr="00545979" w:rsidRDefault="00447A7D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447A7D" w:rsidRPr="00DA5FEC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1 114,10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447A7D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179,45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47A7D" w:rsidRPr="005C0FFD" w:rsidRDefault="00447A7D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284,67</w:t>
                  </w:r>
                </w:p>
              </w:tc>
              <w:tc>
                <w:tcPr>
                  <w:tcW w:w="1134" w:type="dxa"/>
                  <w:vAlign w:val="center"/>
                </w:tcPr>
                <w:p w:rsidR="00447A7D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179,87</w:t>
                  </w:r>
                </w:p>
              </w:tc>
              <w:tc>
                <w:tcPr>
                  <w:tcW w:w="1134" w:type="dxa"/>
                  <w:vAlign w:val="center"/>
                </w:tcPr>
                <w:p w:rsidR="00447A7D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287,72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7A7D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447A7D" w:rsidRPr="000D5734" w:rsidRDefault="00447A7D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447A7D" w:rsidRPr="001A6291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D5430">
                    <w:rPr>
                      <w:lang w:val="ru-RU"/>
                    </w:rPr>
                    <w:t>170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должности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должности не отнесенные к должностям муниципальной службы, за отчетный год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F3D8B" w:rsidRPr="008D3AD4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 w:rsidR="008D3AD4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5505C" w:rsidRDefault="0055505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5</w:t>
                  </w:r>
                  <w:r>
                    <w:rPr>
                      <w:lang w:val="ru-RU"/>
                    </w:rPr>
                    <w:t>3</w:t>
                  </w:r>
                  <w:r w:rsidR="00CF3D8B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27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130F7F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0F53C1">
                  <w:pPr>
                    <w:framePr w:hSpace="180" w:wrap="around" w:hAnchor="margin" w:y="-552"/>
                    <w:ind w:left="-84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53C1">
                  <w:pPr>
                    <w:framePr w:hSpace="180" w:wrap="around" w:hAnchor="margin" w:y="-552"/>
                  </w:pPr>
                  <w:r w:rsidRPr="004C37ED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5</w:t>
                  </w:r>
                  <w:r w:rsidR="0055505C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27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130F7F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0F53C1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0F53C1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0F53C1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94" w:rsidRDefault="00020E94" w:rsidP="00A97CAF">
      <w:r>
        <w:separator/>
      </w:r>
    </w:p>
  </w:endnote>
  <w:endnote w:type="continuationSeparator" w:id="0">
    <w:p w:rsidR="00020E94" w:rsidRDefault="00020E94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94" w:rsidRDefault="00020E94" w:rsidP="00A97CAF">
      <w:r>
        <w:separator/>
      </w:r>
    </w:p>
  </w:footnote>
  <w:footnote w:type="continuationSeparator" w:id="0">
    <w:p w:rsidR="00020E94" w:rsidRDefault="00020E94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3310"/>
    <w:rsid w:val="00035507"/>
    <w:rsid w:val="00041DEA"/>
    <w:rsid w:val="00041DF2"/>
    <w:rsid w:val="00043045"/>
    <w:rsid w:val="00044504"/>
    <w:rsid w:val="00047FD0"/>
    <w:rsid w:val="00053A31"/>
    <w:rsid w:val="000555C4"/>
    <w:rsid w:val="00057980"/>
    <w:rsid w:val="000633E8"/>
    <w:rsid w:val="00063B32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A1A6C"/>
    <w:rsid w:val="000A219C"/>
    <w:rsid w:val="000A4675"/>
    <w:rsid w:val="000A4DD2"/>
    <w:rsid w:val="000A4DDE"/>
    <w:rsid w:val="000A7423"/>
    <w:rsid w:val="000B0D4E"/>
    <w:rsid w:val="000B4A7C"/>
    <w:rsid w:val="000C5D35"/>
    <w:rsid w:val="000C6769"/>
    <w:rsid w:val="000C69E5"/>
    <w:rsid w:val="000C71ED"/>
    <w:rsid w:val="000C792B"/>
    <w:rsid w:val="000D03EE"/>
    <w:rsid w:val="000D3EAF"/>
    <w:rsid w:val="000D71A9"/>
    <w:rsid w:val="000E303A"/>
    <w:rsid w:val="000E7208"/>
    <w:rsid w:val="000E732C"/>
    <w:rsid w:val="000F05B2"/>
    <w:rsid w:val="000F0EBE"/>
    <w:rsid w:val="000F15A3"/>
    <w:rsid w:val="000F5392"/>
    <w:rsid w:val="000F53C1"/>
    <w:rsid w:val="000F7C70"/>
    <w:rsid w:val="00100CC4"/>
    <w:rsid w:val="00103458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42784"/>
    <w:rsid w:val="001440C8"/>
    <w:rsid w:val="001440E9"/>
    <w:rsid w:val="0014672A"/>
    <w:rsid w:val="001516CC"/>
    <w:rsid w:val="0015244D"/>
    <w:rsid w:val="0015424E"/>
    <w:rsid w:val="001611F0"/>
    <w:rsid w:val="0016153E"/>
    <w:rsid w:val="00165AB4"/>
    <w:rsid w:val="00166324"/>
    <w:rsid w:val="00167973"/>
    <w:rsid w:val="00170952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4332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36BA"/>
    <w:rsid w:val="001D3DB0"/>
    <w:rsid w:val="001D53CF"/>
    <w:rsid w:val="001D5CBD"/>
    <w:rsid w:val="001E64B6"/>
    <w:rsid w:val="001E76EB"/>
    <w:rsid w:val="001F2342"/>
    <w:rsid w:val="001F308C"/>
    <w:rsid w:val="001F37F5"/>
    <w:rsid w:val="001F5C29"/>
    <w:rsid w:val="001F76EE"/>
    <w:rsid w:val="00203335"/>
    <w:rsid w:val="00204B74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52E4"/>
    <w:rsid w:val="0023630C"/>
    <w:rsid w:val="002402C4"/>
    <w:rsid w:val="002418B7"/>
    <w:rsid w:val="00241B18"/>
    <w:rsid w:val="002437AC"/>
    <w:rsid w:val="00245931"/>
    <w:rsid w:val="00251271"/>
    <w:rsid w:val="00253CE3"/>
    <w:rsid w:val="002552BA"/>
    <w:rsid w:val="00255D54"/>
    <w:rsid w:val="00257AF6"/>
    <w:rsid w:val="00260C7D"/>
    <w:rsid w:val="002630A5"/>
    <w:rsid w:val="002653EF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3A32"/>
    <w:rsid w:val="002E3AEE"/>
    <w:rsid w:val="002E614A"/>
    <w:rsid w:val="002E73BC"/>
    <w:rsid w:val="002F16DB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4621"/>
    <w:rsid w:val="0035619F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B2165"/>
    <w:rsid w:val="003B4EB3"/>
    <w:rsid w:val="003B73C6"/>
    <w:rsid w:val="003B7548"/>
    <w:rsid w:val="003D405B"/>
    <w:rsid w:val="003D55C4"/>
    <w:rsid w:val="003E26B8"/>
    <w:rsid w:val="003E4E1A"/>
    <w:rsid w:val="003F024F"/>
    <w:rsid w:val="003F0BB6"/>
    <w:rsid w:val="003F2F2E"/>
    <w:rsid w:val="003F4039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62C4"/>
    <w:rsid w:val="004369F1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C2ECA"/>
    <w:rsid w:val="004C5739"/>
    <w:rsid w:val="004D2229"/>
    <w:rsid w:val="004D259C"/>
    <w:rsid w:val="004D43B3"/>
    <w:rsid w:val="004D4414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7363"/>
    <w:rsid w:val="00567AA4"/>
    <w:rsid w:val="00571AFD"/>
    <w:rsid w:val="00575271"/>
    <w:rsid w:val="00577E7E"/>
    <w:rsid w:val="005806EC"/>
    <w:rsid w:val="00595C60"/>
    <w:rsid w:val="00595D9F"/>
    <w:rsid w:val="00595F87"/>
    <w:rsid w:val="005A3062"/>
    <w:rsid w:val="005A4704"/>
    <w:rsid w:val="005A4D3E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4D72"/>
    <w:rsid w:val="00600415"/>
    <w:rsid w:val="00601471"/>
    <w:rsid w:val="0060395D"/>
    <w:rsid w:val="0060545E"/>
    <w:rsid w:val="0061062A"/>
    <w:rsid w:val="00610870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5E47"/>
    <w:rsid w:val="00636232"/>
    <w:rsid w:val="006363B9"/>
    <w:rsid w:val="00640292"/>
    <w:rsid w:val="00640D40"/>
    <w:rsid w:val="00641BD3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6F85"/>
    <w:rsid w:val="006A1BD5"/>
    <w:rsid w:val="006A3424"/>
    <w:rsid w:val="006A4833"/>
    <w:rsid w:val="006A5176"/>
    <w:rsid w:val="006A646D"/>
    <w:rsid w:val="006B1D06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A1E"/>
    <w:rsid w:val="0073448B"/>
    <w:rsid w:val="007358F7"/>
    <w:rsid w:val="007406B3"/>
    <w:rsid w:val="00742251"/>
    <w:rsid w:val="007425F0"/>
    <w:rsid w:val="0074393D"/>
    <w:rsid w:val="00745C00"/>
    <w:rsid w:val="007503F6"/>
    <w:rsid w:val="00752E28"/>
    <w:rsid w:val="00753684"/>
    <w:rsid w:val="00753A4D"/>
    <w:rsid w:val="00755890"/>
    <w:rsid w:val="00760386"/>
    <w:rsid w:val="00763412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60D"/>
    <w:rsid w:val="007D72F1"/>
    <w:rsid w:val="007E070E"/>
    <w:rsid w:val="007E3A5F"/>
    <w:rsid w:val="007E3F9C"/>
    <w:rsid w:val="007E558A"/>
    <w:rsid w:val="007E61DF"/>
    <w:rsid w:val="007E6DB0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71A04"/>
    <w:rsid w:val="00873C46"/>
    <w:rsid w:val="00875830"/>
    <w:rsid w:val="008878A8"/>
    <w:rsid w:val="0089207D"/>
    <w:rsid w:val="00892703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E0DD2"/>
    <w:rsid w:val="008E3BCE"/>
    <w:rsid w:val="008E56EE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38A5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C6F"/>
    <w:rsid w:val="00A759DB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7CAF"/>
    <w:rsid w:val="00AA7133"/>
    <w:rsid w:val="00AA7469"/>
    <w:rsid w:val="00AB1977"/>
    <w:rsid w:val="00AB4A9D"/>
    <w:rsid w:val="00AB6600"/>
    <w:rsid w:val="00AB765A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C48"/>
    <w:rsid w:val="00B17C38"/>
    <w:rsid w:val="00B23383"/>
    <w:rsid w:val="00B243ED"/>
    <w:rsid w:val="00B25EAC"/>
    <w:rsid w:val="00B25FCD"/>
    <w:rsid w:val="00B35A5C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72BC"/>
    <w:rsid w:val="00BB7EBA"/>
    <w:rsid w:val="00BC19A4"/>
    <w:rsid w:val="00BC2ADB"/>
    <w:rsid w:val="00BC334F"/>
    <w:rsid w:val="00BC71A1"/>
    <w:rsid w:val="00BD07E0"/>
    <w:rsid w:val="00BD4485"/>
    <w:rsid w:val="00BD47BF"/>
    <w:rsid w:val="00BD5E34"/>
    <w:rsid w:val="00BD702D"/>
    <w:rsid w:val="00BE3B6A"/>
    <w:rsid w:val="00BE6702"/>
    <w:rsid w:val="00BF1792"/>
    <w:rsid w:val="00BF1F08"/>
    <w:rsid w:val="00BF2EA8"/>
    <w:rsid w:val="00BF363D"/>
    <w:rsid w:val="00BF3DA9"/>
    <w:rsid w:val="00C01BBD"/>
    <w:rsid w:val="00C04F0B"/>
    <w:rsid w:val="00C05F93"/>
    <w:rsid w:val="00C063FC"/>
    <w:rsid w:val="00C065F5"/>
    <w:rsid w:val="00C0739D"/>
    <w:rsid w:val="00C10B69"/>
    <w:rsid w:val="00C110B4"/>
    <w:rsid w:val="00C11E59"/>
    <w:rsid w:val="00C141F3"/>
    <w:rsid w:val="00C209F8"/>
    <w:rsid w:val="00C21304"/>
    <w:rsid w:val="00C23D24"/>
    <w:rsid w:val="00C32325"/>
    <w:rsid w:val="00C328A9"/>
    <w:rsid w:val="00C3314E"/>
    <w:rsid w:val="00C33CA2"/>
    <w:rsid w:val="00C36A18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F24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45C0"/>
    <w:rsid w:val="00D74FF0"/>
    <w:rsid w:val="00D80D65"/>
    <w:rsid w:val="00D8335A"/>
    <w:rsid w:val="00D85213"/>
    <w:rsid w:val="00D85AAE"/>
    <w:rsid w:val="00D87021"/>
    <w:rsid w:val="00D909A7"/>
    <w:rsid w:val="00D94C28"/>
    <w:rsid w:val="00D97242"/>
    <w:rsid w:val="00D972D1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5FEA"/>
    <w:rsid w:val="00E363A6"/>
    <w:rsid w:val="00E37EA3"/>
    <w:rsid w:val="00E40686"/>
    <w:rsid w:val="00E44DF1"/>
    <w:rsid w:val="00E45ABB"/>
    <w:rsid w:val="00E45F6D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5150"/>
    <w:rsid w:val="00E912A2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3CFD"/>
    <w:rsid w:val="00EC4FDC"/>
    <w:rsid w:val="00EC56A2"/>
    <w:rsid w:val="00EC6080"/>
    <w:rsid w:val="00ED0F17"/>
    <w:rsid w:val="00ED37D5"/>
    <w:rsid w:val="00ED3D84"/>
    <w:rsid w:val="00ED4D47"/>
    <w:rsid w:val="00ED56F6"/>
    <w:rsid w:val="00ED7816"/>
    <w:rsid w:val="00EE0EB7"/>
    <w:rsid w:val="00EE426B"/>
    <w:rsid w:val="00EE433B"/>
    <w:rsid w:val="00EF2D9E"/>
    <w:rsid w:val="00EF6DA7"/>
    <w:rsid w:val="00EF7B76"/>
    <w:rsid w:val="00F016A5"/>
    <w:rsid w:val="00F01C9F"/>
    <w:rsid w:val="00F1179E"/>
    <w:rsid w:val="00F1346B"/>
    <w:rsid w:val="00F145B4"/>
    <w:rsid w:val="00F15039"/>
    <w:rsid w:val="00F15715"/>
    <w:rsid w:val="00F17308"/>
    <w:rsid w:val="00F217C9"/>
    <w:rsid w:val="00F24DCE"/>
    <w:rsid w:val="00F24E97"/>
    <w:rsid w:val="00F31E0D"/>
    <w:rsid w:val="00F37791"/>
    <w:rsid w:val="00F42082"/>
    <w:rsid w:val="00F42C3A"/>
    <w:rsid w:val="00F4423A"/>
    <w:rsid w:val="00F44813"/>
    <w:rsid w:val="00F4657E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33DF70-3AA3-4400-BB71-097FB5F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9DC7763C14C721EA3B923B9F235E3037858118403BF82AEDF7A488F4840AE3015ABC831C573F520A8AA73A7CBG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3862-2CCE-4525-8E70-F51EC527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25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Парамонова Маргарита Васильевна</cp:lastModifiedBy>
  <cp:revision>143</cp:revision>
  <cp:lastPrinted>2020-08-28T03:59:00Z</cp:lastPrinted>
  <dcterms:created xsi:type="dcterms:W3CDTF">2020-06-30T08:48:00Z</dcterms:created>
  <dcterms:modified xsi:type="dcterms:W3CDTF">2020-09-01T05:54:00Z</dcterms:modified>
</cp:coreProperties>
</file>