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0712" w:rsidRDefault="00300712">
      <w:pPr>
        <w:pStyle w:val="ConsPlusTitlePage"/>
      </w:pPr>
      <w:r>
        <w:t xml:space="preserve">Документ предоставлен </w:t>
      </w:r>
      <w:hyperlink r:id="rId4">
        <w:r>
          <w:rPr>
            <w:color w:val="0000FF"/>
          </w:rPr>
          <w:t>КонсультантПлюс</w:t>
        </w:r>
      </w:hyperlink>
      <w:r>
        <w:br/>
      </w:r>
    </w:p>
    <w:p w:rsidR="00300712" w:rsidRDefault="00300712">
      <w:pPr>
        <w:pStyle w:val="ConsPlusNormal"/>
        <w:outlineLvl w:val="0"/>
      </w:pPr>
    </w:p>
    <w:p w:rsidR="00300712" w:rsidRDefault="00300712">
      <w:pPr>
        <w:pStyle w:val="ConsPlusTitle"/>
        <w:jc w:val="center"/>
      </w:pPr>
      <w:r>
        <w:t>РЕГИОНАЛЬНАЯ СЛУЖБА ПО ТАРИФАМ</w:t>
      </w:r>
    </w:p>
    <w:p w:rsidR="00300712" w:rsidRDefault="00300712">
      <w:pPr>
        <w:pStyle w:val="ConsPlusTitle"/>
        <w:jc w:val="center"/>
      </w:pPr>
      <w:r>
        <w:t>ХАНТЫ-МАНСИЙСКОГО АВТОНОМНОГО ОКРУГА - ЮГРЫ</w:t>
      </w:r>
    </w:p>
    <w:p w:rsidR="00300712" w:rsidRDefault="00300712">
      <w:pPr>
        <w:pStyle w:val="ConsPlusTitle"/>
        <w:jc w:val="center"/>
      </w:pPr>
      <w:r>
        <w:t>(РСТ ЮГРЫ)</w:t>
      </w:r>
    </w:p>
    <w:p w:rsidR="00300712" w:rsidRDefault="00300712">
      <w:pPr>
        <w:pStyle w:val="ConsPlusTitle"/>
        <w:jc w:val="center"/>
      </w:pPr>
    </w:p>
    <w:p w:rsidR="00300712" w:rsidRDefault="00300712">
      <w:pPr>
        <w:pStyle w:val="ConsPlusTitle"/>
        <w:jc w:val="center"/>
      </w:pPr>
      <w:r>
        <w:t>ПРИКАЗ</w:t>
      </w:r>
    </w:p>
    <w:p w:rsidR="00300712" w:rsidRDefault="00300712">
      <w:pPr>
        <w:pStyle w:val="ConsPlusTitle"/>
        <w:jc w:val="center"/>
      </w:pPr>
      <w:r>
        <w:t>от 16 мая 2024 г. N 37-нп</w:t>
      </w:r>
    </w:p>
    <w:p w:rsidR="00300712" w:rsidRDefault="00300712">
      <w:pPr>
        <w:pStyle w:val="ConsPlusTitle"/>
        <w:jc w:val="center"/>
      </w:pPr>
    </w:p>
    <w:p w:rsidR="00300712" w:rsidRDefault="00300712">
      <w:pPr>
        <w:pStyle w:val="ConsPlusTitle"/>
        <w:jc w:val="center"/>
      </w:pPr>
      <w:r>
        <w:t>О ВНЕСЕНИИ ИЗМЕНЕНИЯ В ПРИЛОЖЕНИЕ 1</w:t>
      </w:r>
      <w:proofErr w:type="gramStart"/>
      <w:r>
        <w:t xml:space="preserve"> К</w:t>
      </w:r>
      <w:proofErr w:type="gramEnd"/>
      <w:r>
        <w:t xml:space="preserve"> ПРИКАЗУ РЕГИОНАЛЬНОЙ</w:t>
      </w:r>
    </w:p>
    <w:p w:rsidR="00300712" w:rsidRDefault="00300712">
      <w:pPr>
        <w:pStyle w:val="ConsPlusTitle"/>
        <w:jc w:val="center"/>
      </w:pPr>
      <w:r>
        <w:t>СЛУЖБЫ ПО ТАРИФАМ ХАНТЫ-МАНСИЙСКОГО АВТОНОМНОГО ОКРУГА -</w:t>
      </w:r>
    </w:p>
    <w:p w:rsidR="00300712" w:rsidRDefault="00300712">
      <w:pPr>
        <w:pStyle w:val="ConsPlusTitle"/>
        <w:jc w:val="center"/>
      </w:pPr>
      <w:r>
        <w:t>ЮГРЫ ОТ 24 НОЯБРЯ 2022 ГОДА N 93-НП "ОБ УСТАНОВЛЕНИИ</w:t>
      </w:r>
    </w:p>
    <w:p w:rsidR="00300712" w:rsidRDefault="00300712">
      <w:pPr>
        <w:pStyle w:val="ConsPlusTitle"/>
        <w:jc w:val="center"/>
      </w:pPr>
      <w:r>
        <w:t>ПРЕДЕЛЬНОГО ЕДИНОГО ТАРИФА НА УСЛУГУ РЕГИОНАЛЬНОГО ОПЕРАТОРА</w:t>
      </w:r>
    </w:p>
    <w:p w:rsidR="00300712" w:rsidRDefault="00300712">
      <w:pPr>
        <w:pStyle w:val="ConsPlusTitle"/>
        <w:jc w:val="center"/>
      </w:pPr>
      <w:r>
        <w:t>В ОБЛАСТИ ОБРАЩЕНИЯ С ТВЕРДЫМИ КОММУНАЛЬНЫМИ ОТХОДАМИ</w:t>
      </w:r>
    </w:p>
    <w:p w:rsidR="00300712" w:rsidRDefault="00300712">
      <w:pPr>
        <w:pStyle w:val="ConsPlusTitle"/>
        <w:jc w:val="center"/>
      </w:pPr>
      <w:r>
        <w:t>ДЛЯ АКЦИОНЕРНОГО ОБЩЕСТВА "ЮГРА-ЭКОЛОГИЯ"</w:t>
      </w:r>
    </w:p>
    <w:p w:rsidR="00300712" w:rsidRDefault="00300712">
      <w:pPr>
        <w:pStyle w:val="ConsPlusNormal"/>
        <w:ind w:firstLine="540"/>
        <w:jc w:val="both"/>
      </w:pPr>
    </w:p>
    <w:p w:rsidR="00300712" w:rsidRDefault="00300712">
      <w:pPr>
        <w:pStyle w:val="ConsPlusNormal"/>
        <w:ind w:firstLine="540"/>
        <w:jc w:val="both"/>
      </w:pPr>
      <w:proofErr w:type="gramStart"/>
      <w:r>
        <w:t xml:space="preserve">В соответствии с предписанием Федеральной антимонопольной службы от 1 февраля 2024 года N СП/7775/24, на основании </w:t>
      </w:r>
      <w:hyperlink r:id="rId5">
        <w:r>
          <w:rPr>
            <w:color w:val="0000FF"/>
          </w:rPr>
          <w:t>постановления</w:t>
        </w:r>
      </w:hyperlink>
      <w:r>
        <w:t xml:space="preserve"> Правительства Ханты-Мансийского автономного округа - Югры от 14 апреля 2012 года N 137-п "О Региональной службе по тарифам Ханты-Мансийского автономного округа - Югры", протокола правления Региональной службы по тарифам Ханты-Мансийского автономного округа - Югры от 16 мая 2024 года N 21 приказываю:</w:t>
      </w:r>
      <w:proofErr w:type="gramEnd"/>
    </w:p>
    <w:p w:rsidR="00300712" w:rsidRDefault="00300712">
      <w:pPr>
        <w:pStyle w:val="ConsPlusNormal"/>
        <w:spacing w:before="220"/>
        <w:ind w:firstLine="540"/>
        <w:jc w:val="both"/>
      </w:pPr>
      <w:r>
        <w:t xml:space="preserve">1. Внести в </w:t>
      </w:r>
      <w:hyperlink r:id="rId6">
        <w:r>
          <w:rPr>
            <w:color w:val="0000FF"/>
          </w:rPr>
          <w:t>приложение 1</w:t>
        </w:r>
      </w:hyperlink>
      <w:r>
        <w:t xml:space="preserve"> к приказу Региональной службы по тарифам Ханты-Мансийского автономного округа - Югры от 24 ноября 2022 года N 93-нп "Об установлении предельного единого тарифа на услугу регионального оператора в области обращения с твердыми коммунальными отходами для акционерного общества "Югра-Экология" изменение, изложив </w:t>
      </w:r>
      <w:hyperlink r:id="rId7">
        <w:r>
          <w:rPr>
            <w:color w:val="0000FF"/>
          </w:rPr>
          <w:t>строку 1 таблицы</w:t>
        </w:r>
      </w:hyperlink>
      <w:r>
        <w:t xml:space="preserve"> в следующей редакции:</w:t>
      </w:r>
    </w:p>
    <w:p w:rsidR="00300712" w:rsidRDefault="00300712">
      <w:pPr>
        <w:pStyle w:val="ConsPlusNormal"/>
        <w:ind w:firstLine="540"/>
        <w:jc w:val="both"/>
      </w:pPr>
    </w:p>
    <w:p w:rsidR="00300712" w:rsidRDefault="00300712">
      <w:pPr>
        <w:pStyle w:val="ConsPlusNormal"/>
        <w:jc w:val="both"/>
      </w:pPr>
      <w:r>
        <w:t>"</w:t>
      </w:r>
    </w:p>
    <w:p w:rsidR="00300712" w:rsidRDefault="00300712">
      <w:pPr>
        <w:pStyle w:val="ConsPlusNormal"/>
        <w:spacing w:after="1"/>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252"/>
        <w:gridCol w:w="1898"/>
        <w:gridCol w:w="865"/>
        <w:gridCol w:w="1446"/>
        <w:gridCol w:w="859"/>
        <w:gridCol w:w="859"/>
        <w:gridCol w:w="859"/>
        <w:gridCol w:w="859"/>
        <w:gridCol w:w="971"/>
        <w:gridCol w:w="971"/>
        <w:gridCol w:w="971"/>
        <w:gridCol w:w="971"/>
        <w:gridCol w:w="971"/>
        <w:gridCol w:w="971"/>
        <w:gridCol w:w="971"/>
      </w:tblGrid>
      <w:tr w:rsidR="00300712">
        <w:tc>
          <w:tcPr>
            <w:tcW w:w="510" w:type="dxa"/>
            <w:vMerge w:val="restart"/>
          </w:tcPr>
          <w:p w:rsidR="00300712" w:rsidRDefault="00300712">
            <w:pPr>
              <w:pStyle w:val="ConsPlusNormal"/>
            </w:pPr>
            <w:r>
              <w:t>1</w:t>
            </w:r>
          </w:p>
        </w:tc>
        <w:tc>
          <w:tcPr>
            <w:tcW w:w="3005" w:type="dxa"/>
            <w:vMerge w:val="restart"/>
          </w:tcPr>
          <w:p w:rsidR="00300712" w:rsidRDefault="00300712">
            <w:pPr>
              <w:pStyle w:val="ConsPlusNormal"/>
            </w:pPr>
            <w:proofErr w:type="gramStart"/>
            <w:r>
              <w:t xml:space="preserve">Березовский муниципальный район Ханты-Мансийского автономного </w:t>
            </w:r>
            <w:r>
              <w:lastRenderedPageBreak/>
              <w:t xml:space="preserve">округа - Югры (далее - автономный округ), Белоярский муниципальный район автономного округа, Нижневартовский муниципальный район автономного округа, Сургутский муниципальный район автономного округа, городской округ Когалым автономного округа, городской округ Лангепас автономного округа, городской округ Мегион автономного округа, городской округ Нижневартовск автономного округа, городской округ Покачи автономного округа, городской </w:t>
            </w:r>
            <w:r>
              <w:lastRenderedPageBreak/>
              <w:t>округ Радужный автономного округа, городской округ Сургут автономного округа</w:t>
            </w:r>
            <w:proofErr w:type="gramEnd"/>
          </w:p>
        </w:tc>
        <w:tc>
          <w:tcPr>
            <w:tcW w:w="964" w:type="dxa"/>
            <w:vMerge w:val="restart"/>
          </w:tcPr>
          <w:p w:rsidR="00300712" w:rsidRDefault="00300712">
            <w:pPr>
              <w:pStyle w:val="ConsPlusNormal"/>
            </w:pPr>
            <w:r>
              <w:lastRenderedPageBreak/>
              <w:t>руб./м3</w:t>
            </w:r>
          </w:p>
        </w:tc>
        <w:tc>
          <w:tcPr>
            <w:tcW w:w="1587" w:type="dxa"/>
          </w:tcPr>
          <w:p w:rsidR="00300712" w:rsidRDefault="00300712">
            <w:pPr>
              <w:pStyle w:val="ConsPlusNormal"/>
            </w:pPr>
            <w:r>
              <w:t>для прочих потребителей (без учета НДС)</w:t>
            </w:r>
          </w:p>
        </w:tc>
        <w:tc>
          <w:tcPr>
            <w:tcW w:w="1020" w:type="dxa"/>
          </w:tcPr>
          <w:p w:rsidR="00300712" w:rsidRDefault="00300712">
            <w:pPr>
              <w:pStyle w:val="ConsPlusNormal"/>
            </w:pPr>
            <w:r>
              <w:t>684,64</w:t>
            </w:r>
          </w:p>
        </w:tc>
        <w:tc>
          <w:tcPr>
            <w:tcW w:w="1020" w:type="dxa"/>
          </w:tcPr>
          <w:p w:rsidR="00300712" w:rsidRDefault="00300712">
            <w:pPr>
              <w:pStyle w:val="ConsPlusNormal"/>
            </w:pPr>
            <w:r>
              <w:t>684,64</w:t>
            </w:r>
          </w:p>
        </w:tc>
        <w:tc>
          <w:tcPr>
            <w:tcW w:w="1020" w:type="dxa"/>
          </w:tcPr>
          <w:p w:rsidR="00300712" w:rsidRDefault="00300712">
            <w:pPr>
              <w:pStyle w:val="ConsPlusNormal"/>
            </w:pPr>
            <w:r>
              <w:t>789,04</w:t>
            </w:r>
          </w:p>
        </w:tc>
        <w:tc>
          <w:tcPr>
            <w:tcW w:w="1020" w:type="dxa"/>
          </w:tcPr>
          <w:p w:rsidR="00300712" w:rsidRDefault="00300712">
            <w:pPr>
              <w:pStyle w:val="ConsPlusNormal"/>
            </w:pPr>
            <w:r>
              <w:t>789,04</w:t>
            </w:r>
          </w:p>
        </w:tc>
        <w:tc>
          <w:tcPr>
            <w:tcW w:w="1134" w:type="dxa"/>
          </w:tcPr>
          <w:p w:rsidR="00300712" w:rsidRDefault="00300712">
            <w:pPr>
              <w:pStyle w:val="ConsPlusNormal"/>
            </w:pPr>
            <w:r>
              <w:t>885,78</w:t>
            </w:r>
          </w:p>
        </w:tc>
        <w:tc>
          <w:tcPr>
            <w:tcW w:w="1134" w:type="dxa"/>
          </w:tcPr>
          <w:p w:rsidR="00300712" w:rsidRDefault="00300712">
            <w:pPr>
              <w:pStyle w:val="ConsPlusNormal"/>
            </w:pPr>
            <w:r>
              <w:t>885,78</w:t>
            </w:r>
          </w:p>
        </w:tc>
        <w:tc>
          <w:tcPr>
            <w:tcW w:w="1134" w:type="dxa"/>
          </w:tcPr>
          <w:p w:rsidR="00300712" w:rsidRDefault="00300712">
            <w:pPr>
              <w:pStyle w:val="ConsPlusNormal"/>
            </w:pPr>
            <w:r>
              <w:t>999,92</w:t>
            </w:r>
          </w:p>
        </w:tc>
        <w:tc>
          <w:tcPr>
            <w:tcW w:w="1134" w:type="dxa"/>
          </w:tcPr>
          <w:p w:rsidR="00300712" w:rsidRDefault="00300712">
            <w:pPr>
              <w:pStyle w:val="ConsPlusNormal"/>
            </w:pPr>
            <w:r>
              <w:t>999,92</w:t>
            </w:r>
          </w:p>
        </w:tc>
        <w:tc>
          <w:tcPr>
            <w:tcW w:w="1134" w:type="dxa"/>
          </w:tcPr>
          <w:p w:rsidR="00300712" w:rsidRDefault="00300712">
            <w:pPr>
              <w:pStyle w:val="ConsPlusNormal"/>
            </w:pPr>
            <w:r>
              <w:t>1119,69</w:t>
            </w:r>
          </w:p>
        </w:tc>
        <w:tc>
          <w:tcPr>
            <w:tcW w:w="1134" w:type="dxa"/>
          </w:tcPr>
          <w:p w:rsidR="00300712" w:rsidRDefault="00300712">
            <w:pPr>
              <w:pStyle w:val="ConsPlusNormal"/>
            </w:pPr>
            <w:r>
              <w:t>1119,69</w:t>
            </w:r>
          </w:p>
        </w:tc>
        <w:tc>
          <w:tcPr>
            <w:tcW w:w="1134" w:type="dxa"/>
          </w:tcPr>
          <w:p w:rsidR="00300712" w:rsidRDefault="00300712">
            <w:pPr>
              <w:pStyle w:val="ConsPlusNormal"/>
            </w:pPr>
            <w:r>
              <w:t>1269,99</w:t>
            </w:r>
          </w:p>
        </w:tc>
      </w:tr>
      <w:tr w:rsidR="00300712">
        <w:tc>
          <w:tcPr>
            <w:tcW w:w="0" w:type="auto"/>
            <w:vMerge/>
          </w:tcPr>
          <w:p w:rsidR="00300712" w:rsidRDefault="00300712">
            <w:pPr>
              <w:pStyle w:val="ConsPlusNormal"/>
            </w:pPr>
          </w:p>
        </w:tc>
        <w:tc>
          <w:tcPr>
            <w:tcW w:w="0" w:type="auto"/>
            <w:vMerge/>
          </w:tcPr>
          <w:p w:rsidR="00300712" w:rsidRDefault="00300712">
            <w:pPr>
              <w:pStyle w:val="ConsPlusNormal"/>
            </w:pPr>
          </w:p>
        </w:tc>
        <w:tc>
          <w:tcPr>
            <w:tcW w:w="0" w:type="auto"/>
            <w:vMerge/>
          </w:tcPr>
          <w:p w:rsidR="00300712" w:rsidRDefault="00300712">
            <w:pPr>
              <w:pStyle w:val="ConsPlusNormal"/>
            </w:pPr>
          </w:p>
        </w:tc>
        <w:tc>
          <w:tcPr>
            <w:tcW w:w="1587" w:type="dxa"/>
          </w:tcPr>
          <w:p w:rsidR="00300712" w:rsidRDefault="00300712">
            <w:pPr>
              <w:pStyle w:val="ConsPlusNormal"/>
            </w:pPr>
            <w:r>
              <w:t xml:space="preserve">для </w:t>
            </w:r>
            <w:r>
              <w:lastRenderedPageBreak/>
              <w:t>населения (с учетом НДС) &lt;*&gt;</w:t>
            </w:r>
          </w:p>
        </w:tc>
        <w:tc>
          <w:tcPr>
            <w:tcW w:w="1020" w:type="dxa"/>
          </w:tcPr>
          <w:p w:rsidR="00300712" w:rsidRDefault="00300712">
            <w:pPr>
              <w:pStyle w:val="ConsPlusNormal"/>
            </w:pPr>
            <w:r>
              <w:lastRenderedPageBreak/>
              <w:t>821,57</w:t>
            </w:r>
          </w:p>
        </w:tc>
        <w:tc>
          <w:tcPr>
            <w:tcW w:w="1020" w:type="dxa"/>
          </w:tcPr>
          <w:p w:rsidR="00300712" w:rsidRDefault="00300712">
            <w:pPr>
              <w:pStyle w:val="ConsPlusNormal"/>
            </w:pPr>
            <w:r>
              <w:t>821,57</w:t>
            </w:r>
          </w:p>
        </w:tc>
        <w:tc>
          <w:tcPr>
            <w:tcW w:w="1020" w:type="dxa"/>
          </w:tcPr>
          <w:p w:rsidR="00300712" w:rsidRDefault="00300712">
            <w:pPr>
              <w:pStyle w:val="ConsPlusNormal"/>
            </w:pPr>
            <w:r>
              <w:t>946,85</w:t>
            </w:r>
          </w:p>
        </w:tc>
        <w:tc>
          <w:tcPr>
            <w:tcW w:w="1020" w:type="dxa"/>
          </w:tcPr>
          <w:p w:rsidR="00300712" w:rsidRDefault="00300712">
            <w:pPr>
              <w:pStyle w:val="ConsPlusNormal"/>
            </w:pPr>
            <w:r>
              <w:t>946,85</w:t>
            </w:r>
          </w:p>
        </w:tc>
        <w:tc>
          <w:tcPr>
            <w:tcW w:w="1134" w:type="dxa"/>
          </w:tcPr>
          <w:p w:rsidR="00300712" w:rsidRDefault="00300712">
            <w:pPr>
              <w:pStyle w:val="ConsPlusNormal"/>
            </w:pPr>
            <w:r>
              <w:t>1062,94</w:t>
            </w:r>
          </w:p>
        </w:tc>
        <w:tc>
          <w:tcPr>
            <w:tcW w:w="1134" w:type="dxa"/>
          </w:tcPr>
          <w:p w:rsidR="00300712" w:rsidRDefault="00300712">
            <w:pPr>
              <w:pStyle w:val="ConsPlusNormal"/>
            </w:pPr>
            <w:r>
              <w:t>1062,94</w:t>
            </w:r>
          </w:p>
        </w:tc>
        <w:tc>
          <w:tcPr>
            <w:tcW w:w="1134" w:type="dxa"/>
          </w:tcPr>
          <w:p w:rsidR="00300712" w:rsidRDefault="00300712">
            <w:pPr>
              <w:pStyle w:val="ConsPlusNormal"/>
            </w:pPr>
            <w:r>
              <w:t>1199,90</w:t>
            </w:r>
          </w:p>
        </w:tc>
        <w:tc>
          <w:tcPr>
            <w:tcW w:w="1134" w:type="dxa"/>
          </w:tcPr>
          <w:p w:rsidR="00300712" w:rsidRDefault="00300712">
            <w:pPr>
              <w:pStyle w:val="ConsPlusNormal"/>
            </w:pPr>
            <w:r>
              <w:t>1199,90</w:t>
            </w:r>
          </w:p>
        </w:tc>
        <w:tc>
          <w:tcPr>
            <w:tcW w:w="1134" w:type="dxa"/>
          </w:tcPr>
          <w:p w:rsidR="00300712" w:rsidRDefault="00300712">
            <w:pPr>
              <w:pStyle w:val="ConsPlusNormal"/>
            </w:pPr>
            <w:r>
              <w:t>1343,63</w:t>
            </w:r>
          </w:p>
        </w:tc>
        <w:tc>
          <w:tcPr>
            <w:tcW w:w="1134" w:type="dxa"/>
          </w:tcPr>
          <w:p w:rsidR="00300712" w:rsidRDefault="00300712">
            <w:pPr>
              <w:pStyle w:val="ConsPlusNormal"/>
            </w:pPr>
            <w:r>
              <w:t>1343,63</w:t>
            </w:r>
          </w:p>
        </w:tc>
        <w:tc>
          <w:tcPr>
            <w:tcW w:w="1134" w:type="dxa"/>
          </w:tcPr>
          <w:p w:rsidR="00300712" w:rsidRDefault="00300712">
            <w:pPr>
              <w:pStyle w:val="ConsPlusNormal"/>
            </w:pPr>
            <w:r>
              <w:t>1523,99</w:t>
            </w:r>
          </w:p>
        </w:tc>
      </w:tr>
      <w:tr w:rsidR="00300712">
        <w:tc>
          <w:tcPr>
            <w:tcW w:w="0" w:type="auto"/>
            <w:vMerge/>
          </w:tcPr>
          <w:p w:rsidR="00300712" w:rsidRDefault="00300712">
            <w:pPr>
              <w:pStyle w:val="ConsPlusNormal"/>
            </w:pPr>
          </w:p>
        </w:tc>
        <w:tc>
          <w:tcPr>
            <w:tcW w:w="0" w:type="auto"/>
            <w:vMerge/>
          </w:tcPr>
          <w:p w:rsidR="00300712" w:rsidRDefault="00300712">
            <w:pPr>
              <w:pStyle w:val="ConsPlusNormal"/>
            </w:pPr>
          </w:p>
        </w:tc>
        <w:tc>
          <w:tcPr>
            <w:tcW w:w="964" w:type="dxa"/>
            <w:vMerge w:val="restart"/>
          </w:tcPr>
          <w:p w:rsidR="00300712" w:rsidRDefault="00300712">
            <w:pPr>
              <w:pStyle w:val="ConsPlusNormal"/>
            </w:pPr>
            <w:r>
              <w:t>руб./</w:t>
            </w:r>
          </w:p>
          <w:p w:rsidR="00300712" w:rsidRDefault="00300712">
            <w:pPr>
              <w:pStyle w:val="ConsPlusNormal"/>
            </w:pPr>
            <w:r>
              <w:t>тонна</w:t>
            </w:r>
          </w:p>
        </w:tc>
        <w:tc>
          <w:tcPr>
            <w:tcW w:w="1587" w:type="dxa"/>
          </w:tcPr>
          <w:p w:rsidR="00300712" w:rsidRDefault="00300712">
            <w:pPr>
              <w:pStyle w:val="ConsPlusNormal"/>
            </w:pPr>
            <w:r>
              <w:t>для прочих потребителей (без учета НДС)</w:t>
            </w:r>
          </w:p>
        </w:tc>
        <w:tc>
          <w:tcPr>
            <w:tcW w:w="1020" w:type="dxa"/>
          </w:tcPr>
          <w:p w:rsidR="00300712" w:rsidRDefault="00300712">
            <w:pPr>
              <w:pStyle w:val="ConsPlusNormal"/>
            </w:pPr>
            <w:r>
              <w:t>6482,88</w:t>
            </w:r>
          </w:p>
        </w:tc>
        <w:tc>
          <w:tcPr>
            <w:tcW w:w="1020" w:type="dxa"/>
          </w:tcPr>
          <w:p w:rsidR="00300712" w:rsidRDefault="00300712">
            <w:pPr>
              <w:pStyle w:val="ConsPlusNormal"/>
            </w:pPr>
            <w:r>
              <w:t>6482,88</w:t>
            </w:r>
          </w:p>
        </w:tc>
        <w:tc>
          <w:tcPr>
            <w:tcW w:w="1020" w:type="dxa"/>
          </w:tcPr>
          <w:p w:rsidR="00300712" w:rsidRDefault="00300712">
            <w:pPr>
              <w:pStyle w:val="ConsPlusNormal"/>
            </w:pPr>
            <w:r>
              <w:t>7583,52</w:t>
            </w:r>
          </w:p>
        </w:tc>
        <w:tc>
          <w:tcPr>
            <w:tcW w:w="1020" w:type="dxa"/>
          </w:tcPr>
          <w:p w:rsidR="00300712" w:rsidRDefault="00300712">
            <w:pPr>
              <w:pStyle w:val="ConsPlusNormal"/>
            </w:pPr>
            <w:r>
              <w:t>7583,52</w:t>
            </w:r>
          </w:p>
        </w:tc>
        <w:tc>
          <w:tcPr>
            <w:tcW w:w="1134" w:type="dxa"/>
          </w:tcPr>
          <w:p w:rsidR="00300712" w:rsidRDefault="00300712">
            <w:pPr>
              <w:pStyle w:val="ConsPlusNormal"/>
            </w:pPr>
            <w:r>
              <w:t>8402,81</w:t>
            </w:r>
          </w:p>
        </w:tc>
        <w:tc>
          <w:tcPr>
            <w:tcW w:w="1134" w:type="dxa"/>
          </w:tcPr>
          <w:p w:rsidR="00300712" w:rsidRDefault="00300712">
            <w:pPr>
              <w:pStyle w:val="ConsPlusNormal"/>
            </w:pPr>
            <w:r>
              <w:t>8402,81</w:t>
            </w:r>
          </w:p>
        </w:tc>
        <w:tc>
          <w:tcPr>
            <w:tcW w:w="1134" w:type="dxa"/>
          </w:tcPr>
          <w:p w:rsidR="00300712" w:rsidRDefault="00300712">
            <w:pPr>
              <w:pStyle w:val="ConsPlusNormal"/>
            </w:pPr>
            <w:r>
              <w:t>9596,39</w:t>
            </w:r>
          </w:p>
        </w:tc>
        <w:tc>
          <w:tcPr>
            <w:tcW w:w="1134" w:type="dxa"/>
          </w:tcPr>
          <w:p w:rsidR="00300712" w:rsidRDefault="00300712">
            <w:pPr>
              <w:pStyle w:val="ConsPlusNormal"/>
            </w:pPr>
            <w:r>
              <w:t>9596,39</w:t>
            </w:r>
          </w:p>
        </w:tc>
        <w:tc>
          <w:tcPr>
            <w:tcW w:w="1134" w:type="dxa"/>
          </w:tcPr>
          <w:p w:rsidR="00300712" w:rsidRDefault="00300712">
            <w:pPr>
              <w:pStyle w:val="ConsPlusNormal"/>
            </w:pPr>
            <w:r>
              <w:t>10635,48</w:t>
            </w:r>
          </w:p>
        </w:tc>
        <w:tc>
          <w:tcPr>
            <w:tcW w:w="1134" w:type="dxa"/>
          </w:tcPr>
          <w:p w:rsidR="00300712" w:rsidRDefault="00300712">
            <w:pPr>
              <w:pStyle w:val="ConsPlusNormal"/>
            </w:pPr>
            <w:r>
              <w:t>10635,48</w:t>
            </w:r>
          </w:p>
        </w:tc>
        <w:tc>
          <w:tcPr>
            <w:tcW w:w="1134" w:type="dxa"/>
          </w:tcPr>
          <w:p w:rsidR="00300712" w:rsidRDefault="00300712">
            <w:pPr>
              <w:pStyle w:val="ConsPlusNormal"/>
            </w:pPr>
            <w:r>
              <w:t>12174,27</w:t>
            </w:r>
          </w:p>
        </w:tc>
      </w:tr>
      <w:tr w:rsidR="00300712">
        <w:tc>
          <w:tcPr>
            <w:tcW w:w="0" w:type="auto"/>
            <w:vMerge/>
          </w:tcPr>
          <w:p w:rsidR="00300712" w:rsidRDefault="00300712">
            <w:pPr>
              <w:pStyle w:val="ConsPlusNormal"/>
            </w:pPr>
          </w:p>
        </w:tc>
        <w:tc>
          <w:tcPr>
            <w:tcW w:w="0" w:type="auto"/>
            <w:vMerge/>
          </w:tcPr>
          <w:p w:rsidR="00300712" w:rsidRDefault="00300712">
            <w:pPr>
              <w:pStyle w:val="ConsPlusNormal"/>
            </w:pPr>
          </w:p>
        </w:tc>
        <w:tc>
          <w:tcPr>
            <w:tcW w:w="0" w:type="auto"/>
            <w:vMerge/>
          </w:tcPr>
          <w:p w:rsidR="00300712" w:rsidRDefault="00300712">
            <w:pPr>
              <w:pStyle w:val="ConsPlusNormal"/>
            </w:pPr>
          </w:p>
        </w:tc>
        <w:tc>
          <w:tcPr>
            <w:tcW w:w="1587" w:type="dxa"/>
          </w:tcPr>
          <w:p w:rsidR="00300712" w:rsidRDefault="00300712">
            <w:pPr>
              <w:pStyle w:val="ConsPlusNormal"/>
            </w:pPr>
            <w:r>
              <w:t>для населения (с учетом НДС) &lt;*&gt;</w:t>
            </w:r>
          </w:p>
        </w:tc>
        <w:tc>
          <w:tcPr>
            <w:tcW w:w="1020" w:type="dxa"/>
          </w:tcPr>
          <w:p w:rsidR="00300712" w:rsidRDefault="00300712">
            <w:pPr>
              <w:pStyle w:val="ConsPlusNormal"/>
            </w:pPr>
            <w:r>
              <w:t>7779,46</w:t>
            </w:r>
          </w:p>
        </w:tc>
        <w:tc>
          <w:tcPr>
            <w:tcW w:w="1020" w:type="dxa"/>
          </w:tcPr>
          <w:p w:rsidR="00300712" w:rsidRDefault="00300712">
            <w:pPr>
              <w:pStyle w:val="ConsPlusNormal"/>
            </w:pPr>
            <w:r>
              <w:t>7779,46</w:t>
            </w:r>
          </w:p>
        </w:tc>
        <w:tc>
          <w:tcPr>
            <w:tcW w:w="1020" w:type="dxa"/>
          </w:tcPr>
          <w:p w:rsidR="00300712" w:rsidRDefault="00300712">
            <w:pPr>
              <w:pStyle w:val="ConsPlusNormal"/>
            </w:pPr>
            <w:r>
              <w:t>9100,22</w:t>
            </w:r>
          </w:p>
        </w:tc>
        <w:tc>
          <w:tcPr>
            <w:tcW w:w="1020" w:type="dxa"/>
          </w:tcPr>
          <w:p w:rsidR="00300712" w:rsidRDefault="00300712">
            <w:pPr>
              <w:pStyle w:val="ConsPlusNormal"/>
            </w:pPr>
            <w:r>
              <w:t>9100,22</w:t>
            </w:r>
          </w:p>
        </w:tc>
        <w:tc>
          <w:tcPr>
            <w:tcW w:w="1134" w:type="dxa"/>
          </w:tcPr>
          <w:p w:rsidR="00300712" w:rsidRDefault="00300712">
            <w:pPr>
              <w:pStyle w:val="ConsPlusNormal"/>
            </w:pPr>
            <w:r>
              <w:t>10083,37</w:t>
            </w:r>
          </w:p>
        </w:tc>
        <w:tc>
          <w:tcPr>
            <w:tcW w:w="1134" w:type="dxa"/>
          </w:tcPr>
          <w:p w:rsidR="00300712" w:rsidRDefault="00300712">
            <w:pPr>
              <w:pStyle w:val="ConsPlusNormal"/>
            </w:pPr>
            <w:r>
              <w:t>10083,37</w:t>
            </w:r>
          </w:p>
        </w:tc>
        <w:tc>
          <w:tcPr>
            <w:tcW w:w="1134" w:type="dxa"/>
          </w:tcPr>
          <w:p w:rsidR="00300712" w:rsidRDefault="00300712">
            <w:pPr>
              <w:pStyle w:val="ConsPlusNormal"/>
            </w:pPr>
            <w:r>
              <w:t>11515,67</w:t>
            </w:r>
          </w:p>
        </w:tc>
        <w:tc>
          <w:tcPr>
            <w:tcW w:w="1134" w:type="dxa"/>
          </w:tcPr>
          <w:p w:rsidR="00300712" w:rsidRDefault="00300712">
            <w:pPr>
              <w:pStyle w:val="ConsPlusNormal"/>
            </w:pPr>
            <w:r>
              <w:t>11515,67</w:t>
            </w:r>
          </w:p>
        </w:tc>
        <w:tc>
          <w:tcPr>
            <w:tcW w:w="1134" w:type="dxa"/>
          </w:tcPr>
          <w:p w:rsidR="00300712" w:rsidRDefault="00300712">
            <w:pPr>
              <w:pStyle w:val="ConsPlusNormal"/>
            </w:pPr>
            <w:r>
              <w:t>12762,58</w:t>
            </w:r>
          </w:p>
        </w:tc>
        <w:tc>
          <w:tcPr>
            <w:tcW w:w="1134" w:type="dxa"/>
          </w:tcPr>
          <w:p w:rsidR="00300712" w:rsidRDefault="00300712">
            <w:pPr>
              <w:pStyle w:val="ConsPlusNormal"/>
            </w:pPr>
            <w:r>
              <w:t>12762,58</w:t>
            </w:r>
          </w:p>
        </w:tc>
        <w:tc>
          <w:tcPr>
            <w:tcW w:w="1134" w:type="dxa"/>
          </w:tcPr>
          <w:p w:rsidR="00300712" w:rsidRDefault="00300712">
            <w:pPr>
              <w:pStyle w:val="ConsPlusNormal"/>
            </w:pPr>
            <w:r>
              <w:t>14609,12</w:t>
            </w:r>
          </w:p>
        </w:tc>
      </w:tr>
    </w:tbl>
    <w:p w:rsidR="00300712" w:rsidRDefault="00300712">
      <w:pPr>
        <w:pStyle w:val="ConsPlusNormal"/>
        <w:spacing w:before="220"/>
        <w:jc w:val="right"/>
      </w:pPr>
      <w:r>
        <w:lastRenderedPageBreak/>
        <w:t>".</w:t>
      </w:r>
    </w:p>
    <w:p w:rsidR="00300712" w:rsidRDefault="00300712">
      <w:pPr>
        <w:pStyle w:val="ConsPlusNormal"/>
        <w:jc w:val="right"/>
      </w:pPr>
    </w:p>
    <w:p w:rsidR="00300712" w:rsidRDefault="00300712">
      <w:pPr>
        <w:pStyle w:val="ConsPlusNormal"/>
        <w:ind w:firstLine="540"/>
        <w:jc w:val="both"/>
      </w:pPr>
      <w:r>
        <w:t>2. Настоящий приказ вступает в силу по истечении десяти дней после дня его официального опубликования.</w:t>
      </w:r>
    </w:p>
    <w:p w:rsidR="00300712" w:rsidRDefault="00300712">
      <w:pPr>
        <w:pStyle w:val="ConsPlusNormal"/>
        <w:ind w:firstLine="540"/>
        <w:jc w:val="both"/>
      </w:pPr>
    </w:p>
    <w:p w:rsidR="00300712" w:rsidRDefault="00300712">
      <w:pPr>
        <w:pStyle w:val="ConsPlusNormal"/>
        <w:jc w:val="right"/>
      </w:pPr>
      <w:r>
        <w:t>Руководитель службы</w:t>
      </w:r>
    </w:p>
    <w:p w:rsidR="00300712" w:rsidRDefault="00300712">
      <w:pPr>
        <w:pStyle w:val="ConsPlusNormal"/>
        <w:jc w:val="right"/>
      </w:pPr>
      <w:r>
        <w:t>А.А.БЕРЕЗОВСКИЙ</w:t>
      </w:r>
    </w:p>
    <w:p w:rsidR="00300712" w:rsidRDefault="00300712">
      <w:pPr>
        <w:pStyle w:val="ConsPlusNormal"/>
        <w:ind w:firstLine="540"/>
        <w:jc w:val="both"/>
      </w:pPr>
    </w:p>
    <w:p w:rsidR="00300712" w:rsidRDefault="00300712">
      <w:pPr>
        <w:pStyle w:val="ConsPlusNormal"/>
        <w:ind w:firstLine="540"/>
        <w:jc w:val="both"/>
      </w:pPr>
    </w:p>
    <w:p w:rsidR="00300712" w:rsidRDefault="00300712">
      <w:pPr>
        <w:pStyle w:val="ConsPlusNormal"/>
        <w:pBdr>
          <w:bottom w:val="single" w:sz="6" w:space="0" w:color="auto"/>
        </w:pBdr>
        <w:spacing w:before="100" w:after="100"/>
        <w:jc w:val="both"/>
        <w:rPr>
          <w:sz w:val="2"/>
          <w:szCs w:val="2"/>
        </w:rPr>
      </w:pPr>
    </w:p>
    <w:p w:rsidR="001E77FA" w:rsidRDefault="00300712"/>
    <w:sectPr w:rsidR="001E77FA" w:rsidSect="002E2104">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grammar="clean"/>
  <w:defaultTabStop w:val="708"/>
  <w:drawingGridHorizontalSpacing w:val="110"/>
  <w:displayHorizontalDrawingGridEvery w:val="2"/>
  <w:characterSpacingControl w:val="doNotCompress"/>
  <w:compat/>
  <w:rsids>
    <w:rsidRoot w:val="00300712"/>
    <w:rsid w:val="000C45E4"/>
    <w:rsid w:val="00210407"/>
    <w:rsid w:val="00300712"/>
    <w:rsid w:val="003C1E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040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00712"/>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300712"/>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300712"/>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ogin.consultant.ru/link/?req=doc&amp;base=RLAW926&amp;n=295246&amp;dst=10027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RLAW926&amp;n=295246&amp;dst=100080" TargetMode="External"/><Relationship Id="rId5" Type="http://schemas.openxmlformats.org/officeDocument/2006/relationships/hyperlink" Target="https://login.consultant.ru/link/?req=doc&amp;base=RLAW926&amp;n=301353" TargetMode="External"/><Relationship Id="rId4" Type="http://schemas.openxmlformats.org/officeDocument/2006/relationships/hyperlink" Target="https://www.consultant.ru"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426</Words>
  <Characters>2429</Characters>
  <Application>Microsoft Office Word</Application>
  <DocSecurity>0</DocSecurity>
  <Lines>20</Lines>
  <Paragraphs>5</Paragraphs>
  <ScaleCrop>false</ScaleCrop>
  <Company>Microsoft</Company>
  <LinksUpToDate>false</LinksUpToDate>
  <CharactersWithSpaces>2850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Gelojina</dc:creator>
  <cp:lastModifiedBy>Gelojina</cp:lastModifiedBy>
  <cp:revision>1</cp:revision>
  <dcterms:created xsi:type="dcterms:W3CDTF">2025-02-12T09:56:00Z</dcterms:created>
  <dcterms:modified xsi:type="dcterms:W3CDTF">2025-02-12T09:56:00Z</dcterms:modified>
</cp:coreProperties>
</file>