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bCs/>
          <w:szCs w:val="28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Внесен в государственный реестр нормативных правовых актов исполнительных органов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государственной власти Ханты-Мансийского автономного округа - Югры за №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7253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19.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12.2023</w:t>
                            </w:r>
                            <w:r/>
                            <w:r/>
                            <w:r>
                              <w:rPr>
                                <w:b/>
                                <w:sz w:val="1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text;margin-left:0.4pt;mso-position-horizontal:absolute;mso-position-vertical-relative:text;margin-top:-31.6pt;mso-position-vertical:absolute;width:452.7pt;height:31.6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Внесен в государственный реестр нормативных правовых актов исполнительных органов</w:t>
                      </w:r>
                      <w:r/>
                      <w:r/>
                    </w:p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государственной власти Ханты-Мансийского автономного округа - Югры за № </w:t>
                      </w:r>
                      <w:r>
                        <w:rPr>
                          <w:b/>
                          <w:sz w:val="18"/>
                        </w:rPr>
                        <w:t xml:space="preserve">7253 от </w:t>
                      </w:r>
                      <w:r>
                        <w:rPr>
                          <w:b/>
                          <w:sz w:val="18"/>
                        </w:rPr>
                        <w:t xml:space="preserve">19.</w:t>
                      </w:r>
                      <w:r>
                        <w:rPr>
                          <w:b/>
                          <w:sz w:val="18"/>
                        </w:rPr>
                        <w:t xml:space="preserve">12.2023</w:t>
                      </w:r>
                      <w:r/>
                      <w:r/>
                      <w:r>
                        <w:rPr>
                          <w:b/>
                          <w:sz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Cs/>
          <w:szCs w:val="28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6192;o:allowoverlap:true;o:allowincell:true;mso-position-horizontal-relative:text;margin-left:0.3pt;mso-position-horizontal:absolute;mso-position-vertical-relative:text;margin-top:-35.2pt;mso-position-vertical:absolute;width:452.7pt;height:35.4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0563" cy="6120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950935" name="Picture 1" descr="gerb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67056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2.8pt;height:48.2pt;mso-wrap-distance-left:0.0pt;mso-wrap-distance-top:0.0pt;mso-wrap-distance-right:0.0pt;mso-wrap-distance-bottom:0.0pt;rotation:0;" stroked="f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jc w:val="center"/>
        <w:rPr>
          <w:highlight w:val="white"/>
        </w:rPr>
      </w:pPr>
      <w:r>
        <w:rPr>
          <w:bCs/>
          <w:szCs w:val="28"/>
          <w:highlight w:val="none"/>
        </w:rPr>
      </w:r>
      <w:r>
        <w:rPr>
          <w:bCs/>
          <w:szCs w:val="28"/>
          <w:highlight w:val="none"/>
        </w:rPr>
      </w:r>
      <w:r/>
    </w:p>
    <w:p>
      <w:pPr>
        <w:pStyle w:val="694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 xml:space="preserve">РЕГИОНАЛЬНАЯ СЛУЖБА ПО ТАРИФАМ</w:t>
      </w:r>
      <w:r/>
    </w:p>
    <w:p>
      <w:pPr>
        <w:pStyle w:val="694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 xml:space="preserve">ХАНТЫ-МАНСИЙСКОГО АВТОНОМНОГО ОКРУГА – ЮГРЫ</w:t>
      </w:r>
      <w:r/>
    </w:p>
    <w:p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(РСТ ЮГРЫ)</w:t>
      </w:r>
      <w:r/>
    </w:p>
    <w:p>
      <w:pPr>
        <w:jc w:val="center"/>
        <w:shd w:val="clear" w:color="auto" w:fill="ffffff"/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</w:r>
      <w:r/>
    </w:p>
    <w:p>
      <w:pPr>
        <w:jc w:val="center"/>
        <w:shd w:val="clear" w:color="auto" w:fill="ffffff"/>
        <w:widowControl w:val="off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 xml:space="preserve">ПРИКАЗ</w:t>
      </w:r>
      <w:r/>
    </w:p>
    <w:p>
      <w:pPr>
        <w:jc w:val="center"/>
        <w:shd w:val="clear" w:color="auto" w:fill="ffffff"/>
        <w:widowControl w:val="off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</w:r>
      <w:r/>
    </w:p>
    <w:p>
      <w:pPr>
        <w:pStyle w:val="693"/>
        <w:jc w:val="center"/>
        <w:keepNext w:val="0"/>
        <w:spacing w:before="0" w:after="0"/>
        <w:widowControl w:val="o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установлении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предельного единого тарифа на услугу регионального оператора в области обращения </w:t>
      </w:r>
      <w:r/>
    </w:p>
    <w:p>
      <w:pPr>
        <w:pStyle w:val="693"/>
        <w:jc w:val="center"/>
        <w:keepNext w:val="0"/>
        <w:spacing w:before="0" w:after="0"/>
        <w:widowControl w:val="o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 твердыми коммунальными отходами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/>
    </w:p>
    <w:p>
      <w:pPr>
        <w:pStyle w:val="693"/>
        <w:jc w:val="center"/>
        <w:keepNext w:val="0"/>
        <w:spacing w:before="0" w:after="0"/>
        <w:widowControl w:val="o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для акционерного общества «Югра-Экология»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/>
    </w:p>
    <w:p>
      <w:pPr>
        <w:rPr>
          <w:highlight w:val="white"/>
        </w:rPr>
      </w:pPr>
      <w:r>
        <w:rPr>
          <w:highlight w:val="white"/>
        </w:rPr>
      </w:r>
      <w:r/>
    </w:p>
    <w:p>
      <w:pPr>
        <w:shd w:val="clear" w:color="auto" w:fill="ffffff"/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 xml:space="preserve">г. Ханты-Мансийск</w:t>
      </w:r>
      <w:r/>
    </w:p>
    <w:p>
      <w:pPr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 xml:space="preserve">«14» декабря 2023 г.</w:t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№ 132-</w:t>
      </w:r>
      <w:r>
        <w:rPr>
          <w:color w:val="000000"/>
          <w:szCs w:val="28"/>
          <w:highlight w:val="white"/>
        </w:rPr>
        <w:t xml:space="preserve">нп</w:t>
      </w:r>
      <w:r>
        <w:rPr>
          <w:highlight w:val="white"/>
        </w:rPr>
      </w:r>
      <w:r/>
    </w:p>
    <w:p>
      <w:pPr>
        <w:pStyle w:val="693"/>
        <w:jc w:val="center"/>
        <w:keepNext w:val="0"/>
        <w:spacing w:before="0" w:after="0"/>
        <w:widowControl w:val="o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693"/>
        <w:contextualSpacing w:val="0"/>
        <w:ind w:firstLine="709"/>
        <w:jc w:val="both"/>
        <w:spacing w:before="0" w:after="0"/>
        <w:widowControl w:val="off"/>
        <w:tabs>
          <w:tab w:val="left" w:pos="900" w:leader="none"/>
          <w:tab w:val="left" w:pos="1080" w:leader="none"/>
        </w:tabs>
        <w:rPr>
          <w:rFonts w:ascii="Times New Roman" w:hAnsi="Times New Roman"/>
          <w:b w:val="0"/>
          <w:sz w:val="28"/>
          <w:szCs w:val="28"/>
          <w:highlight w:val="white"/>
        </w:rPr>
        <w:suppressLineNumbers w:val="0"/>
      </w:pP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В соответствии с Федеральным законом от 24 июня 1998 года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№ 89-ФЗ «Об отходах производства и потребления», постановлением Правительства Российской Федерации от 30 мая 2016 года № 484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«О ценообразовании в области обращения с твердыми коммунальными отходами», приказом Федеральной антимонопольной службы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от 21 нояб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от 14 апреля 2012 год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а № 137-п «О Региональной службе по тарифам Ханты-Мансийского автономного округа – Югры», протокола правления Региональной службы по тарифам Ханты-Мансийского </w:t>
        <w:br/>
        <w:t xml:space="preserve">автономного округа – Югры от 14 декабря 2023 года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№ 65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 xml:space="preserve">п р и к а з ы в а ю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:</w:t>
      </w:r>
      <w:r/>
    </w:p>
    <w:p>
      <w:pPr>
        <w:contextualSpacing w:val="0"/>
        <w:ind w:firstLine="708"/>
        <w:jc w:val="both"/>
        <w:rPr>
          <w:highlight w:val="white"/>
        </w:rPr>
        <w:suppressLineNumbers w:val="0"/>
      </w:pPr>
      <w:r>
        <w:rPr>
          <w:highlight w:val="white"/>
        </w:rPr>
        <w:tab/>
        <w:t xml:space="preserve"> 1. Установить преде</w:t>
      </w:r>
      <w:r>
        <w:rPr>
          <w:highlight w:val="white"/>
        </w:rPr>
        <w:t xml:space="preserve">льный единый тариф на услугу регионального оператора в области обращения с твердыми коммунальными отходами для акционерного общества «Югра-Экология» на период с 1 января 2024 года по 31 декабря 2028 года согласно приложению к настоящему приказу.</w:t>
      </w:r>
      <w:r/>
    </w:p>
    <w:p>
      <w:pPr>
        <w:contextualSpacing w:val="0"/>
        <w:ind w:right="-1" w:firstLine="720"/>
        <w:jc w:val="both"/>
        <w:widowControl w:val="off"/>
        <w:rPr>
          <w:highlight w:val="white"/>
        </w:rPr>
        <w:suppressLineNumbers w:val="0"/>
      </w:pPr>
      <w:r>
        <w:rPr>
          <w:szCs w:val="28"/>
          <w:highlight w:val="white"/>
        </w:rPr>
        <w:t xml:space="preserve">2. </w:t>
      </w:r>
      <w:r>
        <w:rPr>
          <w:highlight w:val="white"/>
        </w:rPr>
        <w:t xml:space="preserve">Внести </w:t>
      </w:r>
      <w:r>
        <w:rPr>
          <w:highlight w:val="white"/>
        </w:rPr>
        <w:t xml:space="preserve">в приложение к приказу Региональной службы по тарифам Ханты-Мансийского автономного округа – Югры от 16 декабря 2021 года </w:t>
      </w:r>
      <w:r>
        <w:rPr>
          <w:highlight w:val="white"/>
        </w:rPr>
        <w:br/>
        <w:t xml:space="preserve">№ 144-нп «Об установлении предельного единого тарифа на услугу регионального оператора в области обращения с твердыми коммунальными о</w:t>
      </w:r>
      <w:r>
        <w:rPr>
          <w:highlight w:val="white"/>
        </w:rPr>
        <w:t xml:space="preserve">тходами для акционерного общества «Югра-Экология» и о внесении изменений в некоторые приказы Региональной службы по тарифам Ханты-Мансийского автономного округа – Югры» изменение, изложив строку 1 таблицы в следующей редакции: </w:t>
      </w:r>
      <w:r/>
    </w:p>
    <w:p>
      <w:pPr>
        <w:ind w:right="-1" w:firstLine="720"/>
        <w:jc w:val="both"/>
        <w:widowControl w:val="off"/>
        <w:rPr>
          <w:highlight w:val="white"/>
        </w:rPr>
      </w:pPr>
      <w:r>
        <w:rPr>
          <w:highlight w:val="white"/>
        </w:rPr>
        <w:t xml:space="preserve">«</w:t>
      </w:r>
      <w:r/>
    </w:p>
    <w:tbl>
      <w:tblPr>
        <w:tblW w:w="57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126"/>
        <w:gridCol w:w="415"/>
        <w:gridCol w:w="70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53"/>
      </w:tblGrid>
      <w:tr>
        <w:trPr>
          <w:jc w:val="center"/>
          <w:trHeight w:val="1111"/>
        </w:trPr>
        <w:tc>
          <w:tcPr>
            <w:tcMar>
              <w:left w:w="28" w:type="dxa"/>
              <w:right w:w="28" w:type="dxa"/>
            </w:tcMar>
            <w:tcW w:w="6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1</w:t>
            </w:r>
            <w:r/>
          </w:p>
        </w:tc>
        <w:tc>
          <w:tcPr>
            <w:tcMar>
              <w:left w:w="28" w:type="dxa"/>
              <w:right w:w="28" w:type="dxa"/>
            </w:tcMar>
            <w:tcW w:w="101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городской округ Нефтеюга</w:t>
            </w:r>
            <w:r>
              <w:rPr>
                <w:sz w:val="13"/>
                <w:szCs w:val="13"/>
                <w:highlight w:val="white"/>
              </w:rPr>
              <w:t xml:space="preserve">нск Ханты-Мансийского автономного округа – Югры, городской округ Нягань Ханты-Мансийского автономного округа – Югры, городской округ Пыть-Ях Ханты-Мансийского автономного округа – Югры,  городской округ Урай Ханты-Мансийского автономного округа – Югры, гор</w:t>
            </w:r>
            <w:r>
              <w:rPr>
                <w:sz w:val="13"/>
                <w:szCs w:val="13"/>
                <w:highlight w:val="white"/>
              </w:rPr>
              <w:t xml:space="preserve">одской округ Ханты-Мансийск Ханты-Мансийского автономного округа – Югры, городской округ Югорск Ханты-Мансийского автономного округа – Югры, Кондинский муниципальный район Ханты-Мансийского автономного округа – Югры, Нефтеюганский муниципальный район Ханты</w:t>
            </w:r>
            <w:r>
              <w:rPr>
                <w:sz w:val="13"/>
                <w:szCs w:val="13"/>
                <w:highlight w:val="white"/>
              </w:rPr>
              <w:t xml:space="preserve">-Мансийского автономного округа – Югры,  Октябрьский муниципальный район Ханты-Мансийского автономного округа – Югры, Советский муниципальный район Ханты-Мансийского автономного округа – Югры, Ханты-Мансийский муниципальный район Ханты-Мансийского автономн</w:t>
            </w:r>
            <w:r>
              <w:rPr>
                <w:sz w:val="13"/>
                <w:szCs w:val="13"/>
                <w:highlight w:val="white"/>
              </w:rPr>
              <w:t xml:space="preserve">ого округа – Югры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1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руб./</w:t>
            </w:r>
            <w:r/>
          </w:p>
          <w:p>
            <w:pPr>
              <w:jc w:val="center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м3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337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615,30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636,23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800,16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800,16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897,46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897,46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980,76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980,76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1098,57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1098,57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1243,71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1243,71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4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1375,31</w:t>
            </w:r>
            <w:r>
              <w:rPr>
                <w:sz w:val="13"/>
                <w:szCs w:val="13"/>
              </w:rPr>
            </w:r>
            <w:r/>
          </w:p>
        </w:tc>
      </w:tr>
      <w:tr>
        <w:trPr>
          <w:jc w:val="center"/>
          <w:trHeight w:val="1111"/>
        </w:trPr>
        <w:tc>
          <w:tcPr>
            <w:tcMar>
              <w:left w:w="28" w:type="dxa"/>
              <w:right w:w="28" w:type="dxa"/>
            </w:tcMar>
            <w:tcW w:w="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0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198" w:type="pct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337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населения (с учетом НДС)*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738,36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763,48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960,19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960,19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1076,95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1 076,95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1176,91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1176,91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1318,28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1318,28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1492,45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1492,45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28" w:type="dxa"/>
              <w:right w:w="28" w:type="dxa"/>
            </w:tcMar>
            <w:tcW w:w="264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1650,37</w:t>
            </w:r>
            <w:r>
              <w:rPr>
                <w:sz w:val="13"/>
                <w:szCs w:val="13"/>
              </w:rPr>
            </w:r>
            <w:r/>
          </w:p>
        </w:tc>
      </w:tr>
      <w:tr>
        <w:trPr>
          <w:jc w:val="center"/>
          <w:trHeight w:val="1111"/>
        </w:trPr>
        <w:tc>
          <w:tcPr>
            <w:tcMar>
              <w:left w:w="28" w:type="dxa"/>
              <w:right w:w="28" w:type="dxa"/>
            </w:tcMar>
            <w:tcW w:w="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0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1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руб./</w:t>
            </w:r>
            <w:r/>
          </w:p>
          <w:p>
            <w:pPr>
              <w:jc w:val="center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тонна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337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6973,26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7209,78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9153,94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9153,94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10105,38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10105,38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11202,78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11202,78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12386,89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12386,89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14185,85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14185,85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4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15526,44</w:t>
            </w:r>
            <w:r>
              <w:rPr>
                <w:sz w:val="13"/>
                <w:szCs w:val="13"/>
              </w:rPr>
            </w:r>
            <w:r/>
          </w:p>
        </w:tc>
      </w:tr>
      <w:tr>
        <w:trPr>
          <w:jc w:val="center"/>
          <w:trHeight w:val="1112"/>
        </w:trPr>
        <w:tc>
          <w:tcPr>
            <w:tcMar>
              <w:left w:w="28" w:type="dxa"/>
              <w:right w:w="28" w:type="dxa"/>
            </w:tcMar>
            <w:tcW w:w="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0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198" w:type="pct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337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населения (с учетом НДС)*</w:t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8367,91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8651,74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10984,73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10984,73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12126,46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12126,46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13443,34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13443,34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14864,27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14864,27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17023,02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6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17023,02</w:t>
            </w: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Mar>
              <w:left w:w="28" w:type="dxa"/>
              <w:right w:w="28" w:type="dxa"/>
            </w:tcMar>
            <w:tcW w:w="264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18631,73</w:t>
            </w:r>
            <w:r>
              <w:rPr>
                <w:sz w:val="13"/>
                <w:szCs w:val="13"/>
              </w:rPr>
            </w:r>
            <w:r/>
          </w:p>
        </w:tc>
      </w:tr>
    </w:tbl>
    <w:p>
      <w:pPr>
        <w:ind w:right="-1" w:firstLine="720"/>
        <w:jc w:val="right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/>
    </w:p>
    <w:p>
      <w:pPr>
        <w:contextualSpacing w:val="0"/>
        <w:ind w:right="-1" w:firstLine="720"/>
        <w:jc w:val="both"/>
        <w:widowControl w:val="off"/>
        <w:rPr>
          <w:highlight w:val="white"/>
        </w:rPr>
        <w:suppressLineNumbers w:val="0"/>
      </w:pPr>
      <w:r>
        <w:rPr>
          <w:highlight w:val="white"/>
        </w:rPr>
        <w:t xml:space="preserve">3. Внести в приложение 1 к приказу Региональной службы по тарифам Ханты-Мансийского автономного округа – Югры от 24 ноября 2022 года № 93-нп</w:t>
      </w:r>
      <w:r>
        <w:rPr>
          <w:highlight w:val="white"/>
        </w:rPr>
        <w:t xml:space="preserve">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изменение, изложив строку 1 таблицы в следующей редакции:</w:t>
      </w:r>
      <w:r/>
    </w:p>
    <w:p>
      <w:pPr>
        <w:contextualSpacing w:val="0"/>
        <w:ind w:right="-1" w:firstLine="720"/>
        <w:jc w:val="both"/>
        <w:widowControl w:val="off"/>
        <w:rPr>
          <w:highlight w:val="white"/>
        </w:rPr>
        <w:suppressLineNumbers w:val="0"/>
      </w:pPr>
      <w:r>
        <w:rPr>
          <w:highlight w:val="white"/>
        </w:rPr>
        <w:t xml:space="preserve">«</w:t>
      </w:r>
      <w:r/>
    </w:p>
    <w:tbl>
      <w:tblPr>
        <w:tblW w:w="5713" w:type="pct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"/>
        <w:gridCol w:w="2333"/>
        <w:gridCol w:w="567"/>
        <w:gridCol w:w="937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13"/>
      </w:tblGrid>
      <w:tr>
        <w:trPr>
          <w:cantSplit/>
          <w:trHeight w:val="901"/>
        </w:trPr>
        <w:tc>
          <w:tcPr>
            <w:tcW w:w="92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1</w:t>
            </w:r>
            <w:r/>
          </w:p>
        </w:tc>
        <w:tc>
          <w:tcPr>
            <w:tcW w:w="111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Березовский муницип</w:t>
            </w:r>
            <w:r>
              <w:rPr>
                <w:sz w:val="13"/>
                <w:szCs w:val="13"/>
                <w:highlight w:val="white"/>
              </w:rPr>
              <w:t xml:space="preserve">альный район Ханты-Мансийского автономного округа – Югры, Белоярский муниципальный район Ханты-Мансийского автономного округа – Югры, Нижневартовский муниципальный район Ханты-Мансийского автономного округа – Югры, Сургутский муниципальный район Ханты-Манс</w:t>
            </w:r>
            <w:r>
              <w:rPr>
                <w:sz w:val="13"/>
                <w:szCs w:val="13"/>
                <w:highlight w:val="white"/>
              </w:rPr>
              <w:t xml:space="preserve">ийского автономного округа – Югры, городской округ Когалым Ханты-Мансийского автономного округа – Югры, городской округ Лангепас Ханты-Мансийского автономного округа – Югры,  городской округ Мегион Ханты-Мансийского автономного округа – Югры, городской окр</w:t>
            </w:r>
            <w:r>
              <w:rPr>
                <w:sz w:val="13"/>
                <w:szCs w:val="13"/>
                <w:highlight w:val="white"/>
              </w:rPr>
              <w:t xml:space="preserve">уг Нижневартовск Ханты-Мансийского автономного округа – Югры,  городской округ Покачи Ханты-Мансийского автономного округа – Югры, городской округ Радужный Ханты-Мансийского автономного округа – Югры, городской округ Сургут Ханты-Мансийского автономного ок</w:t>
            </w:r>
            <w:r>
              <w:rPr>
                <w:sz w:val="13"/>
                <w:szCs w:val="13"/>
                <w:highlight w:val="white"/>
              </w:rPr>
              <w:t xml:space="preserve">руга – Югры </w:t>
            </w:r>
            <w:r/>
          </w:p>
        </w:tc>
        <w:tc>
          <w:tcPr>
            <w:shd w:val="clear" w:color="auto" w:fill="auto"/>
            <w:tcW w:w="27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руб./м3</w:t>
            </w:r>
            <w:r/>
          </w:p>
        </w:tc>
        <w:tc>
          <w:tcPr>
            <w:shd w:val="clear" w:color="auto" w:fill="auto"/>
            <w:tcW w:w="448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684,64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684,64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789,04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789,04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885,78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885,78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999,92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999,92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1119,69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1119,69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93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1269,99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</w:tr>
      <w:tr>
        <w:trPr>
          <w:cantSplit/>
          <w:trHeight w:val="901"/>
        </w:trPr>
        <w:tc>
          <w:tcPr>
            <w:tcW w:w="9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1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W w:w="271" w:type="pct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W w:w="448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населения (с учетом НДС)*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821,57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821,57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946,85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946,85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1062,94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1 062,94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1199,90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1199,90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1343,63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1343,63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93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1523,99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</w:tr>
      <w:tr>
        <w:trPr>
          <w:cantSplit/>
          <w:trHeight w:val="901"/>
        </w:trPr>
        <w:tc>
          <w:tcPr>
            <w:tcW w:w="9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1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W w:w="27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руб./</w:t>
            </w:r>
            <w:r/>
          </w:p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тонна</w:t>
            </w:r>
            <w:r/>
          </w:p>
        </w:tc>
        <w:tc>
          <w:tcPr>
            <w:shd w:val="clear" w:color="auto" w:fill="auto"/>
            <w:tcW w:w="448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6482,88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6482,88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7583,52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7583,52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8402,81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8402,81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9596,39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9596,39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10635,48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10635,48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93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12174,27</w:t>
            </w:r>
            <w:r>
              <w:rPr>
                <w:sz w:val="13"/>
                <w:szCs w:val="13"/>
              </w:rPr>
            </w:r>
            <w:r/>
          </w:p>
        </w:tc>
      </w:tr>
      <w:tr>
        <w:trPr>
          <w:cantSplit/>
          <w:trHeight w:val="901"/>
        </w:trPr>
        <w:tc>
          <w:tcPr>
            <w:tcW w:w="9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tcW w:w="111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W w:w="271" w:type="pct"/>
            <w:vMerge w:val="continue"/>
            <w:textDirection w:val="lrTb"/>
            <w:noWrap w:val="false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  <w:r/>
          </w:p>
        </w:tc>
        <w:tc>
          <w:tcPr>
            <w:shd w:val="clear" w:color="auto" w:fill="auto"/>
            <w:tcW w:w="448" w:type="pct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sz w:val="13"/>
                <w:szCs w:val="13"/>
                <w:highlight w:val="white"/>
              </w:rPr>
              <w:t xml:space="preserve">для населения (с учетом НДС)*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7779,46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7779,46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9100,22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9100,22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10083,37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10083,37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11515,67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11515,67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12762,58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7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highlight w:val="white"/>
              </w:rPr>
              <w:t xml:space="preserve">12762,58</w:t>
            </w:r>
            <w:r>
              <w:rPr>
                <w:sz w:val="13"/>
                <w:szCs w:val="13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93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</w:rPr>
              <w:t xml:space="preserve">14609,12</w:t>
            </w:r>
            <w:r>
              <w:rPr>
                <w:sz w:val="13"/>
                <w:szCs w:val="13"/>
              </w:rPr>
            </w:r>
            <w:r/>
          </w:p>
        </w:tc>
      </w:tr>
    </w:tbl>
    <w:p>
      <w:pPr>
        <w:ind w:right="-1" w:firstLine="720"/>
        <w:jc w:val="right"/>
        <w:widowControl w:val="off"/>
        <w:rPr>
          <w:szCs w:val="28"/>
          <w:highlight w:val="white"/>
        </w:rPr>
      </w:pPr>
      <w:r>
        <w:rPr>
          <w:highlight w:val="white"/>
        </w:rPr>
        <w:t xml:space="preserve">».</w:t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4</w:t>
      </w:r>
      <w:r>
        <w:rPr>
          <w:highlight w:val="white"/>
        </w:rPr>
        <w:t xml:space="preserve">. </w:t>
      </w:r>
      <w:r>
        <w:rPr>
          <w:szCs w:val="28"/>
          <w:highlight w:val="white"/>
        </w:rPr>
        <w:t xml:space="preserve">Настоящий приказ вступает в силу с 1 января 2024 года.</w:t>
      </w:r>
      <w:r/>
    </w:p>
    <w:p>
      <w:pPr>
        <w:pStyle w:val="873"/>
        <w:widowControl w:val="off"/>
        <w:rPr>
          <w:szCs w:val="26"/>
          <w:highlight w:val="white"/>
          <w:lang w:val="ru-RU"/>
        </w:rPr>
      </w:pPr>
      <w:r>
        <w:rPr>
          <w:szCs w:val="26"/>
          <w:highlight w:val="white"/>
          <w:lang w:val="ru-RU"/>
        </w:rPr>
      </w:r>
      <w:r/>
    </w:p>
    <w:p>
      <w:pPr>
        <w:pStyle w:val="873"/>
        <w:widowControl w:val="off"/>
        <w:rPr>
          <w:szCs w:val="26"/>
          <w:highlight w:val="white"/>
          <w:lang w:val="ru-RU"/>
        </w:rPr>
      </w:pPr>
      <w:r>
        <w:rPr>
          <w:szCs w:val="26"/>
          <w:highlight w:val="white"/>
          <w:lang w:val="ru-RU"/>
        </w:rPr>
      </w:r>
      <w:r/>
    </w:p>
    <w:p>
      <w:pPr>
        <w:pStyle w:val="873"/>
        <w:widowControl w:val="off"/>
        <w:rPr>
          <w:szCs w:val="26"/>
          <w:highlight w:val="white"/>
          <w:lang w:val="ru-RU"/>
        </w:rPr>
      </w:pPr>
      <w:r>
        <w:rPr>
          <w:szCs w:val="26"/>
          <w:highlight w:val="white"/>
          <w:lang w:val="ru-RU"/>
        </w:rPr>
      </w:r>
      <w:r/>
    </w:p>
    <w:p>
      <w:pPr>
        <w:pStyle w:val="873"/>
        <w:widowControl w:val="off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 xml:space="preserve">Руководитель службы</w:t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  <w:t xml:space="preserve">        А.А. Березовский</w:t>
      </w:r>
      <w:r/>
    </w:p>
    <w:p>
      <w:pPr>
        <w:rPr>
          <w:bCs/>
          <w:sz w:val="27"/>
          <w:szCs w:val="27"/>
          <w:highlight w:val="white"/>
        </w:rPr>
      </w:pPr>
      <w:r>
        <w:rPr>
          <w:szCs w:val="28"/>
          <w:highlight w:val="white"/>
        </w:rPr>
        <w:br w:type="page" w:clear="all"/>
      </w:r>
      <w:r/>
    </w:p>
    <w:p>
      <w:pPr>
        <w:ind w:left="7938" w:right="-2" w:hanging="716"/>
        <w:jc w:val="right"/>
        <w:rPr>
          <w:sz w:val="27"/>
          <w:szCs w:val="27"/>
          <w:highlight w:val="whit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7" w:right="1276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sz w:val="27"/>
          <w:szCs w:val="27"/>
          <w:highlight w:val="white"/>
        </w:rPr>
      </w:r>
      <w:r/>
    </w:p>
    <w:p>
      <w:pPr>
        <w:ind w:left="7938" w:right="-2" w:hanging="716"/>
        <w:jc w:val="right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Приложение </w:t>
      </w:r>
      <w:r/>
    </w:p>
    <w:p>
      <w:pPr>
        <w:ind w:right="-2"/>
        <w:jc w:val="right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к приказу Региональной службы</w:t>
      </w:r>
      <w:r/>
    </w:p>
    <w:p>
      <w:pPr>
        <w:ind w:right="-2"/>
        <w:jc w:val="right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по тарифам Ханты-Мансийского</w:t>
      </w:r>
      <w:r/>
    </w:p>
    <w:p>
      <w:pPr>
        <w:ind w:right="-2"/>
        <w:jc w:val="right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автономного округа – Югры</w:t>
      </w:r>
      <w:r/>
    </w:p>
    <w:p>
      <w:pPr>
        <w:ind w:right="-2"/>
        <w:jc w:val="right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     от 14 декабря 2023 года</w:t>
      </w:r>
      <w:r>
        <w:rPr>
          <w:sz w:val="27"/>
          <w:szCs w:val="27"/>
          <w:highlight w:val="white"/>
        </w:rPr>
        <w:t xml:space="preserve"> </w:t>
      </w:r>
      <w:r>
        <w:rPr>
          <w:sz w:val="27"/>
          <w:szCs w:val="27"/>
          <w:highlight w:val="white"/>
        </w:rPr>
        <w:t xml:space="preserve">№ 132-нп</w:t>
      </w:r>
      <w:r>
        <w:rPr>
          <w:highlight w:val="white"/>
        </w:rPr>
      </w:r>
      <w:r/>
    </w:p>
    <w:p>
      <w:pPr>
        <w:jc w:val="right"/>
        <w:rPr>
          <w:bCs/>
          <w:sz w:val="24"/>
          <w:szCs w:val="27"/>
          <w:highlight w:val="white"/>
        </w:rPr>
      </w:pPr>
      <w:r>
        <w:rPr>
          <w:bCs/>
          <w:sz w:val="24"/>
          <w:szCs w:val="27"/>
          <w:highlight w:val="white"/>
        </w:rPr>
      </w:r>
      <w:r/>
    </w:p>
    <w:p>
      <w:pPr>
        <w:contextualSpacing w:val="0"/>
        <w:ind w:right="-2"/>
        <w:jc w:val="center"/>
        <w:rPr>
          <w:bCs/>
          <w:sz w:val="27"/>
          <w:szCs w:val="27"/>
          <w:highlight w:val="white"/>
          <w:vertAlign w:val="superscript"/>
        </w:rPr>
        <w:suppressLineNumbers w:val="0"/>
      </w:pPr>
      <w:r>
        <w:rPr>
          <w:bCs/>
          <w:sz w:val="27"/>
          <w:szCs w:val="27"/>
          <w:highlight w:val="white"/>
        </w:rPr>
        <w:t xml:space="preserve">Предельный единый тариф на услугу регионального оператора в области </w:t>
      </w:r>
      <w:r>
        <w:rPr>
          <w:bCs/>
          <w:sz w:val="27"/>
          <w:szCs w:val="27"/>
          <w:highlight w:val="white"/>
        </w:rPr>
        <w:br/>
        <w:t xml:space="preserve">обращения с твердыми коммунальными отходами для </w:t>
      </w:r>
      <w:r>
        <w:rPr>
          <w:bCs/>
          <w:sz w:val="27"/>
          <w:szCs w:val="27"/>
          <w:highlight w:val="white"/>
        </w:rPr>
        <w:br/>
      </w:r>
      <w:r>
        <w:rPr>
          <w:bCs/>
          <w:sz w:val="27"/>
          <w:szCs w:val="27"/>
          <w:highlight w:val="white"/>
        </w:rPr>
        <w:t xml:space="preserve">акционерного общества «Югра-Экология»</w:t>
      </w:r>
      <w:r>
        <w:rPr>
          <w:bCs/>
          <w:sz w:val="27"/>
          <w:szCs w:val="27"/>
          <w:highlight w:val="white"/>
          <w:vertAlign w:val="superscript"/>
        </w:rPr>
        <w:t xml:space="preserve">1</w:t>
      </w:r>
      <w:r/>
    </w:p>
    <w:p>
      <w:pPr>
        <w:ind w:right="-2"/>
        <w:jc w:val="center"/>
        <w:rPr>
          <w:bCs/>
          <w:sz w:val="27"/>
          <w:szCs w:val="27"/>
          <w:highlight w:val="white"/>
          <w:vertAlign w:val="superscript"/>
        </w:rPr>
      </w:pPr>
      <w:r>
        <w:rPr>
          <w:bCs/>
          <w:sz w:val="27"/>
          <w:szCs w:val="27"/>
          <w:highlight w:val="white"/>
          <w:vertAlign w:val="superscript"/>
        </w:rPr>
      </w:r>
      <w:r/>
    </w:p>
    <w:tbl>
      <w:tblPr>
        <w:tblW w:w="52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5"/>
        <w:gridCol w:w="3158"/>
        <w:gridCol w:w="846"/>
        <w:gridCol w:w="1085"/>
        <w:gridCol w:w="969"/>
        <w:gridCol w:w="969"/>
        <w:gridCol w:w="969"/>
        <w:gridCol w:w="972"/>
        <w:gridCol w:w="969"/>
        <w:gridCol w:w="972"/>
        <w:gridCol w:w="969"/>
        <w:gridCol w:w="975"/>
        <w:gridCol w:w="969"/>
        <w:gridCol w:w="966"/>
      </w:tblGrid>
      <w:tr>
        <w:trPr>
          <w:jc w:val="center"/>
          <w:trHeight w:val="20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№ п/п</w:t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Наименования муниципальных образований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Ед. изм.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Категории потребителей</w:t>
            </w:r>
            <w:r/>
          </w:p>
        </w:tc>
        <w:tc>
          <w:tcPr>
            <w:gridSpan w:val="10"/>
            <w:shd w:val="clear" w:color="auto" w:fill="auto"/>
            <w:tcMar>
              <w:left w:w="85" w:type="dxa"/>
              <w:right w:w="85" w:type="dxa"/>
            </w:tcMar>
            <w:tcW w:w="319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none"/>
              </w:rPr>
              <w:t xml:space="preserve">Предельный </w:t>
            </w:r>
            <w:r>
              <w:rPr>
                <w:sz w:val="15"/>
                <w:szCs w:val="15"/>
                <w:highlight w:val="none"/>
              </w:rPr>
              <w:t xml:space="preserve">е</w:t>
            </w:r>
            <w:r>
              <w:rPr>
                <w:sz w:val="15"/>
                <w:szCs w:val="15"/>
                <w:highlight w:val="white"/>
              </w:rPr>
              <w:t xml:space="preserve">диный тариф на услугу регионального оператора в области обращения с твердыми коммунальными отходами*</w:t>
            </w:r>
            <w:r/>
          </w:p>
        </w:tc>
      </w:tr>
      <w:tr>
        <w:trPr>
          <w:jc w:val="center"/>
          <w:trHeight w:val="20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gridSpan w:val="2"/>
            <w:shd w:val="clear" w:color="auto" w:fill="auto"/>
            <w:tcMar>
              <w:left w:w="85" w:type="dxa"/>
              <w:right w:w="85" w:type="dxa"/>
            </w:tcMar>
            <w:tcW w:w="63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2024 год</w:t>
            </w:r>
            <w:r/>
          </w:p>
        </w:tc>
        <w:tc>
          <w:tcPr>
            <w:gridSpan w:val="2"/>
            <w:shd w:val="clear" w:color="auto" w:fill="auto"/>
            <w:tcMar>
              <w:left w:w="85" w:type="dxa"/>
              <w:right w:w="85" w:type="dxa"/>
            </w:tcMar>
            <w:tcW w:w="63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2025 год</w:t>
            </w:r>
            <w:r/>
          </w:p>
        </w:tc>
        <w:tc>
          <w:tcPr>
            <w:gridSpan w:val="2"/>
            <w:shd w:val="clear" w:color="auto" w:fill="auto"/>
            <w:tcMar>
              <w:left w:w="85" w:type="dxa"/>
              <w:right w:w="85" w:type="dxa"/>
            </w:tcMar>
            <w:tcW w:w="63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2026 год</w:t>
            </w:r>
            <w:r/>
          </w:p>
        </w:tc>
        <w:tc>
          <w:tcPr>
            <w:gridSpan w:val="2"/>
            <w:shd w:val="clear" w:color="auto" w:fill="auto"/>
            <w:tcMar>
              <w:left w:w="85" w:type="dxa"/>
              <w:right w:w="85" w:type="dxa"/>
            </w:tcMar>
            <w:tcW w:w="6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2027 год</w:t>
            </w:r>
            <w:r/>
          </w:p>
        </w:tc>
        <w:tc>
          <w:tcPr>
            <w:gridSpan w:val="2"/>
            <w:shd w:val="clear" w:color="auto" w:fill="auto"/>
            <w:tcMar>
              <w:left w:w="85" w:type="dxa"/>
              <w:right w:w="85" w:type="dxa"/>
            </w:tcMar>
            <w:tcW w:w="6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2028 год</w:t>
            </w:r>
            <w:r/>
          </w:p>
        </w:tc>
      </w:tr>
      <w:tr>
        <w:trPr>
          <w:jc w:val="center"/>
          <w:trHeight w:val="20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января по 30 июня</w:t>
            </w:r>
            <w:r/>
          </w:p>
        </w:tc>
        <w:tc>
          <w:tcPr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июля по 31 декабря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января по 30 июня</w:t>
            </w:r>
            <w:r/>
          </w:p>
        </w:tc>
        <w:tc>
          <w:tcPr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июля по 31 декабря</w:t>
            </w:r>
            <w:r/>
          </w:p>
        </w:tc>
        <w:tc>
          <w:tcPr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января по 30 июня</w:t>
            </w:r>
            <w:r/>
          </w:p>
        </w:tc>
        <w:tc>
          <w:tcPr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июля по 31 декабря</w:t>
            </w:r>
            <w:r/>
          </w:p>
        </w:tc>
        <w:tc>
          <w:tcPr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января по 30 июня</w:t>
            </w:r>
            <w:r/>
          </w:p>
        </w:tc>
        <w:tc>
          <w:tcPr>
            <w:tcMar>
              <w:left w:w="85" w:type="dxa"/>
              <w:right w:w="85" w:type="dxa"/>
            </w:tcMar>
            <w:tcW w:w="3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июля по 31 декабря</w:t>
            </w:r>
            <w:r/>
          </w:p>
        </w:tc>
        <w:tc>
          <w:tcPr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января по 30 июня</w:t>
            </w:r>
            <w:r/>
          </w:p>
        </w:tc>
        <w:tc>
          <w:tcPr>
            <w:tcMar>
              <w:left w:w="85" w:type="dxa"/>
              <w:right w:w="85" w:type="dxa"/>
            </w:tcMar>
            <w:tcW w:w="31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с 1 июля по 31 декабря</w:t>
            </w:r>
            <w:r/>
          </w:p>
        </w:tc>
      </w:tr>
      <w:tr>
        <w:trPr>
          <w:jc w:val="center"/>
          <w:trHeight w:val="941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1</w:t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Кондинский муниципальный район Ханты-Мансийского автономного округа – Югры, Нефтеюганский муниципальный район Ханты-Мансийского авт</w:t>
            </w:r>
            <w:r>
              <w:rPr>
                <w:sz w:val="15"/>
                <w:szCs w:val="15"/>
                <w:highlight w:val="white"/>
              </w:rPr>
              <w:t xml:space="preserve">ономного округа – Югры, Октябрьский муниципальный район Ханты-Мансийского автономного округа – Югры, Советский муниципальный район Ханты-Мансийского автономного округа – Югры, Ханты-Мансийский муниципальный район Ханты-Мансийского автономного округа – Югры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руб./м3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57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879,22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1 012,98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1 012,98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1 342,35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1 224,73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1 224,73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1 224,73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1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1 322,63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1 322,63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1 326,54</w:t>
            </w:r>
            <w:r/>
          </w:p>
        </w:tc>
      </w:tr>
      <w:tr>
        <w:trPr>
          <w:jc w:val="center"/>
          <w:trHeight w:val="941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руб./тонна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57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8 937,06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9 986,85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9 986,85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13 568,81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12 248,53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12 248,53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12 248,53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1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13 227,58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13 227,58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13 266,74</w:t>
            </w:r>
            <w:r/>
          </w:p>
        </w:tc>
      </w:tr>
      <w:tr>
        <w:trPr>
          <w:jc w:val="center"/>
          <w:trHeight w:val="690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2</w:t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Березовский муниципальный район Ханты-Мансийского ав</w:t>
            </w:r>
            <w:r>
              <w:rPr>
                <w:sz w:val="15"/>
                <w:szCs w:val="15"/>
                <w:highlight w:val="white"/>
              </w:rPr>
              <w:t xml:space="preserve">тономного округа – Югры, Белоярский муниципальный район Ханты-Мансийского автономного округа – Югры, 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руб./м3</w:t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357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1 795,84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1 996,93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1 528,70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1 528,70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1 528,70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1 650,95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1 650,95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1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1 655,84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1 655,84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1 783,18</w:t>
            </w:r>
            <w:r/>
          </w:p>
        </w:tc>
      </w:tr>
      <w:tr>
        <w:trPr>
          <w:jc w:val="center"/>
          <w:trHeight w:val="690"/>
        </w:trPr>
        <w:tc>
          <w:tcPr>
            <w:tcMar>
              <w:left w:w="85" w:type="dxa"/>
              <w:right w:w="85" w:type="dxa"/>
            </w:tcMar>
            <w:tcW w:w="13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tcMar>
              <w:left w:w="85" w:type="dxa"/>
              <w:right w:w="85" w:type="dxa"/>
            </w:tcMar>
            <w:tcW w:w="103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  <w:r/>
          </w:p>
        </w:tc>
        <w:tc>
          <w:tcPr>
            <w:shd w:val="clear" w:color="auto" w:fill="auto"/>
            <w:tcMar>
              <w:left w:w="85" w:type="dxa"/>
              <w:right w:w="85" w:type="dxa"/>
            </w:tcMar>
            <w:tcW w:w="278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руб./тонна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57" w:type="pct"/>
            <w:vAlign w:val="center"/>
            <w:textDirection w:val="lrTb"/>
            <w:noWrap w:val="false"/>
          </w:tcPr>
          <w:p>
            <w:pPr>
              <w:rPr>
                <w:sz w:val="15"/>
                <w:szCs w:val="15"/>
                <w:highlight w:val="white"/>
              </w:rPr>
            </w:pPr>
            <w:r>
              <w:rPr>
                <w:sz w:val="15"/>
                <w:szCs w:val="15"/>
                <w:highlight w:val="white"/>
              </w:rPr>
              <w:t xml:space="preserve">для прочих потребителей (без учета НДС)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16 561,60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21 342,59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15 277,53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15 277,53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15 277,53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0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16 499,28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16 499,28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21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16 548,14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9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16 548,14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85" w:type="dxa"/>
              <w:right w:w="85" w:type="dxa"/>
            </w:tcMar>
            <w:tcW w:w="318" w:type="pct"/>
            <w:vAlign w:val="center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</w:rPr>
              <w:t xml:space="preserve">17 820,71</w:t>
            </w:r>
            <w:r/>
          </w:p>
        </w:tc>
      </w:tr>
    </w:tbl>
    <w:p>
      <w:pPr>
        <w:rPr>
          <w:bCs/>
          <w:sz w:val="16"/>
          <w:highlight w:val="white"/>
        </w:rPr>
      </w:pPr>
      <w:r>
        <w:rPr>
          <w:bCs/>
          <w:sz w:val="16"/>
          <w:highlight w:val="white"/>
        </w:rPr>
        <w:t xml:space="preserve">*Тарифы установлены без применения подпункта 36 пункта 2 статьи 149 Налогового кодекса Российской Федерации (часть вторая).</w:t>
      </w:r>
      <w:r/>
    </w:p>
    <w:p>
      <w:pPr>
        <w:rPr>
          <w:bCs/>
          <w:sz w:val="18"/>
          <w:szCs w:val="27"/>
          <w:highlight w:val="white"/>
        </w:rPr>
      </w:pPr>
      <w:r>
        <w:rPr>
          <w:bCs/>
          <w:sz w:val="18"/>
          <w:szCs w:val="27"/>
          <w:highlight w:val="white"/>
        </w:rPr>
      </w:r>
      <w:r/>
    </w:p>
    <w:p>
      <w:pPr>
        <w:jc w:val="both"/>
        <w:rPr>
          <w:bCs/>
          <w:sz w:val="16"/>
          <w:szCs w:val="27"/>
          <w:highlight w:val="white"/>
        </w:rPr>
      </w:pPr>
      <w:r>
        <w:rPr>
          <w:bCs/>
          <w:sz w:val="16"/>
          <w:szCs w:val="27"/>
          <w:highlight w:val="white"/>
        </w:rPr>
        <w:t xml:space="preserve">Примечание:</w:t>
      </w:r>
      <w:r/>
    </w:p>
    <w:p>
      <w:pPr>
        <w:jc w:val="both"/>
        <w:rPr>
          <w:bCs/>
          <w:sz w:val="16"/>
          <w:szCs w:val="27"/>
          <w:highlight w:val="white"/>
        </w:rPr>
      </w:pPr>
      <w:r>
        <w:rPr>
          <w:bCs/>
          <w:sz w:val="16"/>
          <w:szCs w:val="27"/>
          <w:highlight w:val="white"/>
        </w:rPr>
        <w:t xml:space="preserve">1. Предельный единый тариф на услугу регионального оператора в области обращения с твердыми коммунальными отходами применяется к источникам образования твердых коммунальных отходов, расположенных на территориях, не входящих в границы населенных пунктов «Юж</w:t>
      </w:r>
      <w:r>
        <w:rPr>
          <w:bCs/>
          <w:sz w:val="16"/>
          <w:szCs w:val="27"/>
          <w:highlight w:val="white"/>
        </w:rPr>
        <w:t xml:space="preserve">ная зона» и «Северная зона»</w:t>
      </w:r>
      <w:r>
        <w:rPr>
          <w:highlight w:val="white"/>
        </w:rPr>
        <w:t xml:space="preserve"> </w:t>
      </w:r>
      <w:r>
        <w:rPr>
          <w:bCs/>
          <w:sz w:val="16"/>
          <w:szCs w:val="27"/>
          <w:highlight w:val="white"/>
        </w:rPr>
        <w:t xml:space="preserve">Ханты-Мансийского автономного округа – Югры деятельности регионального оператора, согласно Территориальной схеме обращения с отходами в Ханты-Мансийском автономном округе – Югре, утвержденной распоряжением Правительства Ханты-Ма</w:t>
      </w:r>
      <w:r>
        <w:rPr>
          <w:bCs/>
          <w:sz w:val="16"/>
          <w:szCs w:val="27"/>
          <w:highlight w:val="white"/>
        </w:rPr>
        <w:t xml:space="preserve">нсийского автономного округа – Югры </w:t>
      </w:r>
      <w:r>
        <w:rPr>
          <w:bCs/>
          <w:sz w:val="16"/>
          <w:szCs w:val="27"/>
          <w:highlight w:val="white"/>
        </w:rPr>
        <w:br/>
        <w:t xml:space="preserve">от 21 октября 2016 года № 559-рп «О Территориальной схеме обращения с отходами в Ханты-Мансийском автономном округе – Югре и признании утратившими силу некоторых распоряжений Правительства Ханты-Мансийского автономного </w:t>
      </w:r>
      <w:r>
        <w:rPr>
          <w:bCs/>
          <w:sz w:val="16"/>
          <w:szCs w:val="27"/>
          <w:highlight w:val="white"/>
        </w:rPr>
        <w:t xml:space="preserve">округа – Югры».</w:t>
      </w:r>
      <w:r/>
    </w:p>
    <w:sectPr>
      <w:footnotePr/>
      <w:endnotePr/>
      <w:type w:val="nextPage"/>
      <w:pgSz w:w="16838" w:h="11906" w:orient="landscape"/>
      <w:pgMar w:top="1559" w:right="1418" w:bottom="127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rPr>
        <w:rStyle w:val="879"/>
      </w:rPr>
      <w:framePr w:wrap="around" w:vAnchor="text" w:hAnchor="margin" w:xAlign="center" w:y="1"/>
    </w:pPr>
    <w:r>
      <w:rPr>
        <w:rStyle w:val="879"/>
      </w:rPr>
      <w:fldChar w:fldCharType="begin"/>
    </w:r>
    <w:r>
      <w:rPr>
        <w:rStyle w:val="879"/>
      </w:rPr>
      <w:instrText xml:space="preserve">PAGE  </w:instrText>
    </w:r>
    <w:r>
      <w:rPr>
        <w:rStyle w:val="879"/>
      </w:rPr>
      <w:fldChar w:fldCharType="separate"/>
    </w:r>
    <w:r>
      <w:rPr>
        <w:rStyle w:val="879"/>
      </w:rPr>
      <w:t xml:space="preserve">3</w:t>
    </w:r>
    <w:r>
      <w:rPr>
        <w:rStyle w:val="879"/>
      </w:rPr>
      <w:fldChar w:fldCharType="end"/>
    </w:r>
    <w:r/>
  </w:p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rPr>
        <w:rStyle w:val="879"/>
      </w:rPr>
      <w:framePr w:wrap="around" w:vAnchor="text" w:hAnchor="margin" w:xAlign="center" w:y="1"/>
    </w:pPr>
    <w:r>
      <w:rPr>
        <w:rStyle w:val="879"/>
      </w:rPr>
      <w:fldChar w:fldCharType="begin"/>
    </w:r>
    <w:r>
      <w:rPr>
        <w:rStyle w:val="879"/>
      </w:rPr>
      <w:instrText xml:space="preserve">PAGE  </w:instrText>
    </w:r>
    <w:r>
      <w:rPr>
        <w:rStyle w:val="879"/>
      </w:rPr>
      <w:fldChar w:fldCharType="end"/>
    </w:r>
    <w:r/>
  </w:p>
  <w:p>
    <w:pPr>
      <w:pStyle w:val="8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4 Char"/>
    <w:basedOn w:val="70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681">
    <w:name w:val="Heading 5 Char"/>
    <w:basedOn w:val="702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682">
    <w:name w:val="Heading 6 Char"/>
    <w:basedOn w:val="70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683">
    <w:name w:val="Heading 7 Char"/>
    <w:basedOn w:val="702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8 Char"/>
    <w:basedOn w:val="70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685">
    <w:name w:val="Heading 9 Char"/>
    <w:basedOn w:val="702"/>
    <w:link w:val="701"/>
    <w:uiPriority w:val="9"/>
    <w:rPr>
      <w:rFonts w:ascii="Arial" w:hAnsi="Arial" w:eastAsia="Arial" w:cs="Arial"/>
      <w:i/>
      <w:iCs/>
      <w:sz w:val="21"/>
      <w:szCs w:val="21"/>
    </w:rPr>
  </w:style>
  <w:style w:type="character" w:styleId="686">
    <w:name w:val="Title Char"/>
    <w:basedOn w:val="702"/>
    <w:link w:val="714"/>
    <w:uiPriority w:val="10"/>
    <w:rPr>
      <w:sz w:val="48"/>
      <w:szCs w:val="48"/>
    </w:rPr>
  </w:style>
  <w:style w:type="character" w:styleId="687">
    <w:name w:val="Subtitle Char"/>
    <w:basedOn w:val="702"/>
    <w:link w:val="716"/>
    <w:uiPriority w:val="11"/>
    <w:rPr>
      <w:sz w:val="24"/>
      <w:szCs w:val="24"/>
    </w:rPr>
  </w:style>
  <w:style w:type="character" w:styleId="688">
    <w:name w:val="Quote Char"/>
    <w:link w:val="718"/>
    <w:uiPriority w:val="29"/>
    <w:rPr>
      <w:i/>
    </w:rPr>
  </w:style>
  <w:style w:type="character" w:styleId="689">
    <w:name w:val="Intense Quote Char"/>
    <w:link w:val="720"/>
    <w:uiPriority w:val="30"/>
    <w:rPr>
      <w:i/>
    </w:rPr>
  </w:style>
  <w:style w:type="character" w:styleId="690">
    <w:name w:val="Footnote Text Char"/>
    <w:link w:val="852"/>
    <w:uiPriority w:val="99"/>
    <w:rPr>
      <w:sz w:val="18"/>
    </w:rPr>
  </w:style>
  <w:style w:type="character" w:styleId="691">
    <w:name w:val="Endnote Text Char"/>
    <w:link w:val="855"/>
    <w:uiPriority w:val="99"/>
    <w:rPr>
      <w:sz w:val="20"/>
    </w:rPr>
  </w:style>
  <w:style w:type="paragraph" w:styleId="692" w:default="1">
    <w:name w:val="Normal"/>
    <w:qFormat/>
    <w:rPr>
      <w:rFonts w:ascii="Times New Roman" w:hAnsi="Times New Roman" w:eastAsia="Times New Roman"/>
      <w:sz w:val="28"/>
    </w:rPr>
  </w:style>
  <w:style w:type="paragraph" w:styleId="693">
    <w:name w:val="Heading 1"/>
    <w:basedOn w:val="692"/>
    <w:next w:val="692"/>
    <w:link w:val="875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694">
    <w:name w:val="Heading 2"/>
    <w:basedOn w:val="692"/>
    <w:next w:val="692"/>
    <w:link w:val="869"/>
    <w:qFormat/>
    <w:pPr>
      <w:jc w:val="center"/>
      <w:keepNext/>
      <w:outlineLvl w:val="1"/>
    </w:pPr>
    <w:rPr>
      <w:b/>
      <w:lang w:val="en-US"/>
    </w:rPr>
  </w:style>
  <w:style w:type="paragraph" w:styleId="695">
    <w:name w:val="Heading 3"/>
    <w:basedOn w:val="692"/>
    <w:next w:val="692"/>
    <w:link w:val="87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96">
    <w:name w:val="Heading 4"/>
    <w:basedOn w:val="692"/>
    <w:next w:val="692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692"/>
    <w:next w:val="692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692"/>
    <w:next w:val="692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692"/>
    <w:next w:val="692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692"/>
    <w:next w:val="692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692"/>
    <w:next w:val="69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Heading 2 Char"/>
    <w:basedOn w:val="702"/>
    <w:uiPriority w:val="9"/>
    <w:rPr>
      <w:rFonts w:ascii="Arial" w:hAnsi="Arial" w:eastAsia="Arial" w:cs="Arial"/>
      <w:sz w:val="34"/>
    </w:rPr>
  </w:style>
  <w:style w:type="character" w:styleId="707" w:customStyle="1">
    <w:name w:val="Heading 3 Char"/>
    <w:basedOn w:val="702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Заголовок 4 Знак"/>
    <w:basedOn w:val="70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Заголовок 5 Знак"/>
    <w:basedOn w:val="702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Заголовок 6 Знак"/>
    <w:basedOn w:val="70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Заголовок 7 Знак"/>
    <w:basedOn w:val="702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70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Заголовок 9 Знак"/>
    <w:basedOn w:val="702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Title"/>
    <w:basedOn w:val="692"/>
    <w:next w:val="69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702"/>
    <w:link w:val="714"/>
    <w:uiPriority w:val="10"/>
    <w:rPr>
      <w:sz w:val="48"/>
      <w:szCs w:val="48"/>
    </w:rPr>
  </w:style>
  <w:style w:type="paragraph" w:styleId="716">
    <w:name w:val="Subtitle"/>
    <w:basedOn w:val="692"/>
    <w:next w:val="69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702"/>
    <w:link w:val="716"/>
    <w:uiPriority w:val="11"/>
    <w:rPr>
      <w:sz w:val="24"/>
      <w:szCs w:val="24"/>
    </w:rPr>
  </w:style>
  <w:style w:type="paragraph" w:styleId="718">
    <w:name w:val="Quote"/>
    <w:basedOn w:val="692"/>
    <w:next w:val="692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2"/>
    <w:next w:val="692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702"/>
    <w:uiPriority w:val="99"/>
  </w:style>
  <w:style w:type="character" w:styleId="723" w:customStyle="1">
    <w:name w:val="Footer Char"/>
    <w:basedOn w:val="702"/>
    <w:uiPriority w:val="99"/>
  </w:style>
  <w:style w:type="paragraph" w:styleId="724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 w:customStyle="1">
    <w:name w:val="Table Grid Light"/>
    <w:basedOn w:val="7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7">
    <w:name w:val="Plain Table 1"/>
    <w:basedOn w:val="7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70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70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7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1"/>
    <w:basedOn w:val="70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2"/>
    <w:basedOn w:val="70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3"/>
    <w:basedOn w:val="70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4"/>
    <w:basedOn w:val="70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5"/>
    <w:basedOn w:val="70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6"/>
    <w:basedOn w:val="70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7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1"/>
    <w:basedOn w:val="70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2"/>
    <w:basedOn w:val="70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3"/>
    <w:basedOn w:val="70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4"/>
    <w:basedOn w:val="70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5"/>
    <w:basedOn w:val="70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6"/>
    <w:basedOn w:val="70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70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70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5" w:customStyle="1">
    <w:name w:val="Grid Table 4 - Accent 2"/>
    <w:basedOn w:val="70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6" w:customStyle="1">
    <w:name w:val="Grid Table 4 - Accent 3"/>
    <w:basedOn w:val="70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7" w:customStyle="1">
    <w:name w:val="Grid Table 4 - Accent 4"/>
    <w:basedOn w:val="70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8" w:customStyle="1">
    <w:name w:val="Grid Table 4 - Accent 5"/>
    <w:basedOn w:val="70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9" w:customStyle="1">
    <w:name w:val="Grid Table 4 - Accent 6"/>
    <w:basedOn w:val="70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0">
    <w:name w:val="Grid Table 5 Dark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1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2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3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4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5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6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7">
    <w:name w:val="Grid Table 6 Colorful"/>
    <w:basedOn w:val="70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9" w:customStyle="1">
    <w:name w:val="Grid Table 6 Colorful - Accent 2"/>
    <w:basedOn w:val="70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70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70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70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6 Colorful - Accent 6"/>
    <w:basedOn w:val="70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>
    <w:name w:val="Grid Table 7 Colorful"/>
    <w:basedOn w:val="70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1"/>
    <w:basedOn w:val="70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2"/>
    <w:basedOn w:val="70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3"/>
    <w:basedOn w:val="70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4"/>
    <w:basedOn w:val="70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5"/>
    <w:basedOn w:val="70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6"/>
    <w:basedOn w:val="70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70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70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70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70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70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70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70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70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70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70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70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70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70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7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7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70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>
    <w:name w:val="List Table 6 Colorful"/>
    <w:basedOn w:val="70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70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8" w:customStyle="1">
    <w:name w:val="List Table 6 Colorful - Accent 2"/>
    <w:basedOn w:val="70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9" w:customStyle="1">
    <w:name w:val="List Table 6 Colorful - Accent 3"/>
    <w:basedOn w:val="70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0" w:customStyle="1">
    <w:name w:val="List Table 6 Colorful - Accent 4"/>
    <w:basedOn w:val="70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1" w:customStyle="1">
    <w:name w:val="List Table 6 Colorful - Accent 5"/>
    <w:basedOn w:val="70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2" w:customStyle="1">
    <w:name w:val="List Table 6 Colorful - Accent 6"/>
    <w:basedOn w:val="70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3">
    <w:name w:val="List Table 7 Colorful"/>
    <w:basedOn w:val="70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1"/>
    <w:basedOn w:val="70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2"/>
    <w:basedOn w:val="70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3"/>
    <w:basedOn w:val="70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4"/>
    <w:basedOn w:val="70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5"/>
    <w:basedOn w:val="70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6"/>
    <w:basedOn w:val="70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ned - Accent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2" w:customStyle="1">
    <w:name w:val="Lined - Accent 2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3" w:customStyle="1">
    <w:name w:val="Lined - Accent 3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4" w:customStyle="1">
    <w:name w:val="Lined - Accent 4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5" w:customStyle="1">
    <w:name w:val="Lined - Accent 5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6" w:customStyle="1">
    <w:name w:val="Lined - Accent 6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7" w:customStyle="1">
    <w:name w:val="Bordered &amp; Lined - Accent"/>
    <w:basedOn w:val="70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70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Bordered &amp; Lined - Accent 2"/>
    <w:basedOn w:val="70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Bordered &amp; Lined - Accent 3"/>
    <w:basedOn w:val="70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Bordered &amp; Lined - Accent 4"/>
    <w:basedOn w:val="70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Bordered &amp; Lined - Accent 5"/>
    <w:basedOn w:val="70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Bordered &amp; Lined - Accent 6"/>
    <w:basedOn w:val="70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"/>
    <w:basedOn w:val="70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70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6" w:customStyle="1">
    <w:name w:val="Bordered - Accent 2"/>
    <w:basedOn w:val="70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7" w:customStyle="1">
    <w:name w:val="Bordered - Accent 3"/>
    <w:basedOn w:val="70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8" w:customStyle="1">
    <w:name w:val="Bordered - Accent 4"/>
    <w:basedOn w:val="70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9" w:customStyle="1">
    <w:name w:val="Bordered - Accent 5"/>
    <w:basedOn w:val="70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0" w:customStyle="1">
    <w:name w:val="Bordered - Accent 6"/>
    <w:basedOn w:val="70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92"/>
    <w:link w:val="853"/>
    <w:uiPriority w:val="99"/>
    <w:semiHidden/>
    <w:unhideWhenUsed/>
    <w:pPr>
      <w:spacing w:after="40"/>
    </w:pPr>
    <w:rPr>
      <w:sz w:val="18"/>
    </w:r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702"/>
    <w:uiPriority w:val="99"/>
    <w:unhideWhenUsed/>
    <w:rPr>
      <w:vertAlign w:val="superscript"/>
    </w:rPr>
  </w:style>
  <w:style w:type="paragraph" w:styleId="855">
    <w:name w:val="endnote text"/>
    <w:basedOn w:val="692"/>
    <w:link w:val="856"/>
    <w:uiPriority w:val="99"/>
    <w:semiHidden/>
    <w:unhideWhenUsed/>
    <w:rPr>
      <w:sz w:val="20"/>
    </w:r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702"/>
    <w:uiPriority w:val="99"/>
    <w:semiHidden/>
    <w:unhideWhenUsed/>
    <w:rPr>
      <w:vertAlign w:val="superscript"/>
    </w:rPr>
  </w:style>
  <w:style w:type="paragraph" w:styleId="858">
    <w:name w:val="toc 1"/>
    <w:basedOn w:val="692"/>
    <w:next w:val="692"/>
    <w:uiPriority w:val="39"/>
    <w:unhideWhenUsed/>
    <w:pPr>
      <w:spacing w:after="57"/>
    </w:pPr>
  </w:style>
  <w:style w:type="paragraph" w:styleId="859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60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1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2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3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4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65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66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92"/>
    <w:next w:val="692"/>
    <w:uiPriority w:val="99"/>
    <w:unhideWhenUsed/>
  </w:style>
  <w:style w:type="character" w:styleId="869" w:customStyle="1">
    <w:name w:val="Заголовок 2 Знак"/>
    <w:link w:val="694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870" w:customStyle="1">
    <w:name w:val="Заголовок 3 Знак"/>
    <w:link w:val="695"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871">
    <w:name w:val="Balloon Text"/>
    <w:basedOn w:val="692"/>
    <w:link w:val="872"/>
    <w:uiPriority w:val="99"/>
    <w:semiHidden/>
    <w:unhideWhenUsed/>
    <w:rPr>
      <w:rFonts w:ascii="Tahoma" w:hAnsi="Tahoma"/>
      <w:sz w:val="16"/>
      <w:szCs w:val="16"/>
    </w:rPr>
  </w:style>
  <w:style w:type="character" w:styleId="872" w:customStyle="1">
    <w:name w:val="Текст выноски Знак"/>
    <w:link w:val="87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3">
    <w:name w:val="Body Text"/>
    <w:basedOn w:val="692"/>
    <w:link w:val="883"/>
    <w:pPr>
      <w:jc w:val="both"/>
    </w:pPr>
    <w:rPr>
      <w:lang w:val="en-US"/>
    </w:rPr>
  </w:style>
  <w:style w:type="paragraph" w:styleId="874" w:customStyle="1">
    <w:name w:val="Знак"/>
    <w:basedOn w:val="69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875" w:customStyle="1">
    <w:name w:val="Заголовок 1 Знак"/>
    <w:link w:val="693"/>
    <w:uiPriority w:val="9"/>
    <w:rPr>
      <w:rFonts w:ascii="Cambria" w:hAnsi="Cambria" w:eastAsia="Times New Roman" w:cs="Times New Roman"/>
      <w:b/>
      <w:bCs/>
      <w:sz w:val="32"/>
      <w:szCs w:val="32"/>
    </w:rPr>
  </w:style>
  <w:style w:type="paragraph" w:styleId="876">
    <w:name w:val="Body Text 2"/>
    <w:basedOn w:val="692"/>
    <w:link w:val="877"/>
    <w:uiPriority w:val="99"/>
    <w:unhideWhenUsed/>
    <w:pPr>
      <w:spacing w:after="120" w:line="480" w:lineRule="auto"/>
    </w:pPr>
  </w:style>
  <w:style w:type="character" w:styleId="877" w:customStyle="1">
    <w:name w:val="Основной текст 2 Знак"/>
    <w:link w:val="876"/>
    <w:uiPriority w:val="99"/>
    <w:rPr>
      <w:rFonts w:ascii="Times New Roman" w:hAnsi="Times New Roman" w:eastAsia="Times New Roman"/>
      <w:sz w:val="28"/>
    </w:rPr>
  </w:style>
  <w:style w:type="paragraph" w:styleId="878">
    <w:name w:val="Header"/>
    <w:basedOn w:val="692"/>
    <w:link w:val="884"/>
    <w:uiPriority w:val="99"/>
    <w:pPr>
      <w:tabs>
        <w:tab w:val="center" w:pos="4677" w:leader="none"/>
        <w:tab w:val="right" w:pos="9355" w:leader="none"/>
      </w:tabs>
    </w:pPr>
  </w:style>
  <w:style w:type="character" w:styleId="879">
    <w:name w:val="page number"/>
    <w:basedOn w:val="702"/>
  </w:style>
  <w:style w:type="paragraph" w:styleId="880" w:customStyle="1">
    <w:name w:val="Char Char"/>
    <w:basedOn w:val="692"/>
    <w:pPr>
      <w:spacing w:after="160" w:line="240" w:lineRule="exact"/>
    </w:pPr>
    <w:rPr>
      <w:lang w:val="en-US" w:eastAsia="en-US"/>
    </w:rPr>
  </w:style>
  <w:style w:type="paragraph" w:styleId="881">
    <w:name w:val="Body Text Indent"/>
    <w:basedOn w:val="692"/>
    <w:link w:val="889"/>
    <w:pPr>
      <w:ind w:left="283"/>
      <w:spacing w:after="120"/>
    </w:pPr>
    <w:rPr>
      <w:sz w:val="24"/>
      <w:szCs w:val="24"/>
    </w:rPr>
  </w:style>
  <w:style w:type="table" w:styleId="882">
    <w:name w:val="Table Grid"/>
    <w:basedOn w:val="70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3" w:customStyle="1">
    <w:name w:val="Основной текст Знак"/>
    <w:link w:val="873"/>
    <w:rPr>
      <w:rFonts w:ascii="Times New Roman" w:hAnsi="Times New Roman" w:eastAsia="Times New Roman"/>
      <w:sz w:val="28"/>
      <w:lang w:val="en-US"/>
    </w:rPr>
  </w:style>
  <w:style w:type="character" w:styleId="884" w:customStyle="1">
    <w:name w:val="Верхний колонтитул Знак"/>
    <w:link w:val="878"/>
    <w:uiPriority w:val="99"/>
    <w:rPr>
      <w:rFonts w:ascii="Times New Roman" w:hAnsi="Times New Roman" w:eastAsia="Times New Roman"/>
      <w:sz w:val="28"/>
    </w:rPr>
  </w:style>
  <w:style w:type="paragraph" w:styleId="885">
    <w:name w:val="Normal (Web)"/>
    <w:basedOn w:val="69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886">
    <w:name w:val="Strong"/>
    <w:uiPriority w:val="22"/>
    <w:qFormat/>
    <w:rPr>
      <w:b/>
      <w:bCs/>
    </w:rPr>
  </w:style>
  <w:style w:type="paragraph" w:styleId="887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88">
    <w:name w:val="No Spacing"/>
    <w:uiPriority w:val="1"/>
    <w:qFormat/>
    <w:rPr>
      <w:rFonts w:ascii="Times New Roman" w:hAnsi="Times New Roman" w:eastAsia="Times New Roman"/>
      <w:sz w:val="28"/>
    </w:rPr>
  </w:style>
  <w:style w:type="character" w:styleId="889" w:customStyle="1">
    <w:name w:val="Основной текст с отступом Знак"/>
    <w:basedOn w:val="702"/>
    <w:link w:val="881"/>
    <w:rPr>
      <w:rFonts w:ascii="Times New Roman" w:hAnsi="Times New Roman" w:eastAsia="Times New Roman"/>
      <w:sz w:val="24"/>
      <w:szCs w:val="24"/>
    </w:rPr>
  </w:style>
  <w:style w:type="paragraph" w:styleId="890">
    <w:name w:val="Footer"/>
    <w:basedOn w:val="692"/>
    <w:link w:val="8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702"/>
    <w:link w:val="890"/>
    <w:uiPriority w:val="99"/>
    <w:rPr>
      <w:rFonts w:ascii="Times New Roman" w:hAnsi="Times New Roman" w:eastAsia="Times New Roman"/>
      <w:sz w:val="28"/>
    </w:rPr>
  </w:style>
  <w:style w:type="paragraph" w:styleId="892">
    <w:name w:val="List Paragraph"/>
    <w:basedOn w:val="69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EC78-552D-43AC-8558-D5CD1BC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revision>281</cp:revision>
  <dcterms:created xsi:type="dcterms:W3CDTF">2019-09-25T05:56:00Z</dcterms:created>
  <dcterms:modified xsi:type="dcterms:W3CDTF">2023-12-19T10:23:39Z</dcterms:modified>
</cp:coreProperties>
</file>