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РЕГИОНАЛЬНАЯ СЛУЖБА ПО ТАРИФАМ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 декабря 2014 г. N 148-нп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ТАРИФОВ НА ТЕПЛОВУЮ ЭНЕРГИЮ (МОЩНОСТЬ),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ПОСТАВЛЯЕМУЮ</w:t>
      </w:r>
      <w:proofErr w:type="gramEnd"/>
      <w:r>
        <w:rPr>
          <w:rFonts w:cs="Calibri"/>
          <w:b/>
          <w:bCs/>
        </w:rPr>
        <w:t xml:space="preserve"> ТЕПЛОСНАБЖАЮЩИМИ ОРГАНИЗАЦИЯМИ ПОТРЕБИТЕЛЯМ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2010 года N 190-ФЗ "О теплоснабжении", </w:t>
      </w:r>
      <w:hyperlink r:id="rId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8" w:history="1">
        <w:r>
          <w:rPr>
            <w:rFonts w:cs="Calibri"/>
            <w:color w:val="0000FF"/>
          </w:rPr>
          <w:t>N 163</w:t>
        </w:r>
      </w:hyperlink>
      <w:r>
        <w:rPr>
          <w:rFonts w:cs="Calibri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13 июня 2013 года </w:t>
      </w:r>
      <w:hyperlink r:id="rId9" w:history="1">
        <w:r>
          <w:rPr>
            <w:rFonts w:cs="Calibri"/>
            <w:color w:val="0000FF"/>
          </w:rPr>
          <w:t>N 760-э</w:t>
        </w:r>
      </w:hyperlink>
      <w:r>
        <w:rPr>
          <w:rFonts w:cs="Calibri"/>
        </w:rPr>
        <w:t xml:space="preserve"> "Об утверждении Методических указаний по расчету регулируемых цен (тарифов) в сфере теплоснабжения", от 11 октября 2014 года </w:t>
      </w:r>
      <w:hyperlink r:id="rId10" w:history="1">
        <w:r>
          <w:rPr>
            <w:rFonts w:cs="Calibri"/>
            <w:color w:val="0000FF"/>
          </w:rPr>
          <w:t>N 227-э/3</w:t>
        </w:r>
      </w:hyperlink>
      <w:r>
        <w:rPr>
          <w:rFonts w:cs="Calibri"/>
        </w:rPr>
        <w:t xml:space="preserve">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Ханты-Мансийского автономного округа - Югры от 14 апреля 2012 года</w:t>
      </w:r>
      <w:proofErr w:type="gramEnd"/>
      <w:r>
        <w:rPr>
          <w:rFonts w:cs="Calibri"/>
        </w:rPr>
        <w:t xml:space="preserve">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2 декабря 2014 года N 74 приказываю: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Установить </w:t>
      </w:r>
      <w:hyperlink w:anchor="Par33" w:history="1">
        <w:r>
          <w:rPr>
            <w:rFonts w:cs="Calibri"/>
            <w:color w:val="0000FF"/>
          </w:rPr>
          <w:t>тарифы</w:t>
        </w:r>
      </w:hyperlink>
      <w:r>
        <w:rPr>
          <w:rFonts w:cs="Calibri"/>
        </w:rPr>
        <w:t xml:space="preserve"> на тепловую энергию (мощность), поставляемую теплоснабжающими организациями потребителям, согласно приложению 1 к настоящему приказу.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2"/>
      <w:bookmarkEnd w:id="2"/>
      <w:r>
        <w:rPr>
          <w:rFonts w:cs="Calibri"/>
        </w:rPr>
        <w:t xml:space="preserve">2. Тарифы, установленные в </w:t>
      </w:r>
      <w:hyperlink w:anchor="Par43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 - </w:t>
      </w:r>
      <w:hyperlink w:anchor="Par156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приложения 1 к настоящему приказу, действуют с 1 января 2015 года по 31 декабря 2015 года.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3"/>
      <w:bookmarkEnd w:id="3"/>
      <w:r>
        <w:rPr>
          <w:rFonts w:cs="Calibri"/>
        </w:rPr>
        <w:t xml:space="preserve">3. Тарифы, установленные в </w:t>
      </w:r>
      <w:hyperlink w:anchor="Par220" w:history="1">
        <w:r>
          <w:rPr>
            <w:rFonts w:cs="Calibri"/>
            <w:color w:val="0000FF"/>
          </w:rPr>
          <w:t>пункте 9</w:t>
        </w:r>
      </w:hyperlink>
      <w:r>
        <w:rPr>
          <w:rFonts w:cs="Calibri"/>
        </w:rPr>
        <w:t xml:space="preserve"> приложения 1 к настоящему приказу, действуют с 1 января 2015 года по 31 декабря 2017 года.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Установить на 2015 - 2017 годы долгосрочные </w:t>
      </w:r>
      <w:hyperlink w:anchor="Par255" w:history="1">
        <w:r>
          <w:rPr>
            <w:rFonts w:cs="Calibri"/>
            <w:color w:val="0000FF"/>
          </w:rPr>
          <w:t>параметры</w:t>
        </w:r>
      </w:hyperlink>
      <w:r>
        <w:rPr>
          <w:rFonts w:cs="Calibri"/>
        </w:rP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2 к настоящему приказу.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Настоящий приказ опубликовать в газете "Новости Югры".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Руководитель службы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А.А.БЕРЕЗОВСКИЙ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4" w:name="Par24"/>
      <w:bookmarkEnd w:id="4"/>
      <w:r>
        <w:rPr>
          <w:rFonts w:cs="Calibri"/>
        </w:rPr>
        <w:t>Приложение 1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Региональной службы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тарифам Ханты-Мансийского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 декабря 2014 года N 148-нп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736FD" w:rsidRDefault="00D736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Тарифы </w:t>
      </w:r>
      <w:hyperlink w:anchor="Par12" w:history="1">
        <w:r>
          <w:rPr>
            <w:rFonts w:cs="Calibri"/>
            <w:color w:val="0000FF"/>
          </w:rPr>
          <w:t>действуют</w:t>
        </w:r>
      </w:hyperlink>
      <w:r>
        <w:rPr>
          <w:rFonts w:cs="Calibri"/>
        </w:rPr>
        <w:t xml:space="preserve"> с 1 января 2015 года по 31 декабря 2015 года, за исключением тарифов, </w:t>
      </w:r>
      <w:r>
        <w:rPr>
          <w:rFonts w:cs="Calibri"/>
        </w:rPr>
        <w:lastRenderedPageBreak/>
        <w:t xml:space="preserve">указанных в </w:t>
      </w:r>
      <w:hyperlink w:anchor="Par220" w:history="1">
        <w:r>
          <w:rPr>
            <w:rFonts w:cs="Calibri"/>
            <w:color w:val="0000FF"/>
          </w:rPr>
          <w:t>пункте 9</w:t>
        </w:r>
      </w:hyperlink>
      <w:r>
        <w:rPr>
          <w:rFonts w:cs="Calibri"/>
        </w:rPr>
        <w:t xml:space="preserve">, </w:t>
      </w:r>
      <w:hyperlink w:anchor="Par13" w:history="1">
        <w:r>
          <w:rPr>
            <w:rFonts w:cs="Calibri"/>
            <w:color w:val="0000FF"/>
          </w:rPr>
          <w:t>действующих</w:t>
        </w:r>
      </w:hyperlink>
      <w:r>
        <w:rPr>
          <w:rFonts w:cs="Calibri"/>
        </w:rPr>
        <w:t xml:space="preserve"> по 31 декабря 2017 года.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736FD" w:rsidSect="00345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6FD" w:rsidRDefault="00D736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5" w:name="Par33"/>
      <w:bookmarkEnd w:id="5"/>
      <w:r>
        <w:rPr>
          <w:rFonts w:cs="Calibri"/>
          <w:b/>
          <w:bCs/>
        </w:rPr>
        <w:t>ТАРИФЫ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ТЕПЛОВУЮ ЭНЕРГИЮ (МОЩНОСТЬ), ПОСТАВЛЯЕМУЮ ПОТРЕБИТЕЛЯМ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381"/>
        <w:gridCol w:w="2438"/>
        <w:gridCol w:w="964"/>
        <w:gridCol w:w="1304"/>
        <w:gridCol w:w="1304"/>
      </w:tblGrid>
      <w:tr w:rsidR="00D736FD" w:rsidRPr="00D736F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N </w:t>
            </w:r>
            <w:proofErr w:type="gramStart"/>
            <w:r w:rsidRPr="00D736FD">
              <w:rPr>
                <w:rFonts w:cs="Calibri"/>
              </w:rPr>
              <w:t>п</w:t>
            </w:r>
            <w:proofErr w:type="gramEnd"/>
            <w:r w:rsidRPr="00D736FD">
              <w:rPr>
                <w:rFonts w:cs="Calibri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Наименование регулируемой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Вид тарифа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Год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Вода</w:t>
            </w:r>
          </w:p>
        </w:tc>
      </w:tr>
      <w:tr w:rsidR="00D736FD" w:rsidRPr="00D736FD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с 1 января по 30 июня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с 1 июля по 31 декабря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6" w:name="Par43"/>
            <w:bookmarkEnd w:id="6"/>
            <w:r w:rsidRPr="00D736FD">
              <w:rPr>
                <w:rFonts w:cs="Calibri"/>
              </w:rPr>
              <w:t>1.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Открытое акционерное общество "Няганские энергетические ресурсы"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города Нягань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1587,24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1719,01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Население (тарифы указываются с учетом НДС) </w:t>
            </w:r>
            <w:hyperlink w:anchor="Par243" w:history="1">
              <w:r w:rsidRPr="00D736FD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1872,94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2028,43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Общество с ограниченной ответственностью "Башэнергонефть"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Нижневартовского района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2092,21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2265,85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3.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Лянторское городское муниципальное унитарное предприятие "Управление тепловодоснабжения и водоотведения"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Для потребителей, в случае отсутствия дифференциации тарифов по схеме подключения на территории городского </w:t>
            </w:r>
            <w:r w:rsidRPr="00D736FD">
              <w:rPr>
                <w:rFonts w:cs="Calibri"/>
              </w:rPr>
              <w:lastRenderedPageBreak/>
              <w:t>поселения Лянтор Сургутского района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3.1.1.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1597,94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1730,45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3.1.2.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Население (тарифы указываются с учетом НДС) </w:t>
            </w:r>
            <w:hyperlink w:anchor="Par243" w:history="1">
              <w:r w:rsidRPr="00D736FD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3.1.3.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1885,57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2041,93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4.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Муниципальное унитарное предприятие "Федоровское жилищно-коммунальное хозяйство"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городского поселения Федоровский Сургутского района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4.1.1.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1246,29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1349,73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4.1.2.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Население (тарифы указываются с учетом НДС) </w:t>
            </w:r>
            <w:hyperlink w:anchor="Par243" w:history="1">
              <w:r w:rsidRPr="00D736FD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4.1.3.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1470,62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1592,68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5.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Муниципальное унитарное предприятие "Управление тепловодоснабжения и водоотведения "Сибиряк" муниципального образования сельское поселение Нижнесортымский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5.1.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сельского поселения Нижнесортымский Сургутского района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5.1.1.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1674,72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1813,69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5.1.2.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Население (тарифы указываются с учетом НДС) </w:t>
            </w:r>
            <w:hyperlink w:anchor="Par243" w:history="1">
              <w:r w:rsidRPr="00D736FD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5.1.3.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1976,17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2140,15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6.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Открытое акционерное общество "Сургутнефтегаз"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6.1.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Сургутского района и города Сургут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6.1.1.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1554,59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1683,61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7.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Общество с ограниченной ответственностью "Газпром энерго" в зоне деятельности Сургутского филиала Общества с ограниченной ответственностью "Газпром энерго"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7.1.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Сургутского района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7.1.1.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1364,74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1364,74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7" w:name="Par156"/>
            <w:bookmarkEnd w:id="7"/>
            <w:r w:rsidRPr="00D736FD">
              <w:rPr>
                <w:rFonts w:cs="Calibri"/>
              </w:rPr>
              <w:t>8.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Общество с ограниченной ответственностью "Газпром трансгаз Сургут" в зоне деятельности филиалов: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8.1.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Управление по эксплуатации зданий и сооружений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города Сургут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1835,44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1987,64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8.2.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Сургутское линейное производственное управление магистральных газопроводов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8.2.1.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города Сургут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8.2.1.1.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594,77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644,11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8.3.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Южно-Балыкское линейное производственное управление магистральных газопроводов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gramStart"/>
            <w:r w:rsidRPr="00D736FD">
              <w:rPr>
                <w:rFonts w:cs="Calibri"/>
              </w:rPr>
              <w:t>Сентябрьский</w:t>
            </w:r>
            <w:proofErr w:type="gramEnd"/>
            <w:r w:rsidRPr="00D736FD">
              <w:rPr>
                <w:rFonts w:cs="Calibri"/>
              </w:rPr>
              <w:t xml:space="preserve"> Нефтеюганского района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8.3.1.1.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836,54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905,88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8.3.1.2.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Население (тарифы указываются с учетом НДС) </w:t>
            </w:r>
            <w:hyperlink w:anchor="Par243" w:history="1">
              <w:r w:rsidRPr="00D736FD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8.3.1.3.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987,12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1068,94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8.4.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Самсоновское линейное производственное управление магистральных газопроводов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сельского поселения Салым Нефтеюганского района поселок Салым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8.4.1.1.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350,60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379,65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8.4.1.2.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Население (тарифы указываются с учетом НДС) </w:t>
            </w:r>
            <w:hyperlink w:anchor="Par243" w:history="1">
              <w:r w:rsidRPr="00D736FD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8.4.1.3.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413,71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447,99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8" w:name="Par220"/>
            <w:bookmarkEnd w:id="8"/>
            <w:r w:rsidRPr="00D736FD">
              <w:rPr>
                <w:rFonts w:cs="Calibri"/>
              </w:rPr>
              <w:t>9.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Общество с ограниченной ответственностью "Горводоканал"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9.1.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Для потребителей, в случае отсутствия дифференциации тарифов по схеме подключения на территории города Когалым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9.1.1.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1148,20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1243,31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9.1.2.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1243,31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1275,16</w:t>
            </w:r>
          </w:p>
        </w:tc>
      </w:tr>
      <w:tr w:rsidR="00D736FD" w:rsidRPr="00D736F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9.1.3.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1275,16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1328,38</w:t>
            </w:r>
          </w:p>
        </w:tc>
      </w:tr>
    </w:tbl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243"/>
      <w:bookmarkEnd w:id="9"/>
      <w:r>
        <w:rPr>
          <w:rFonts w:cs="Calibri"/>
        </w:rPr>
        <w:t xml:space="preserve">&lt;*&gt; Выделяется в целях реализации </w:t>
      </w:r>
      <w:hyperlink r:id="rId12" w:history="1">
        <w:r>
          <w:rPr>
            <w:rFonts w:cs="Calibri"/>
            <w:color w:val="0000FF"/>
          </w:rPr>
          <w:t>пункта 6 статьи 168</w:t>
        </w:r>
      </w:hyperlink>
      <w:r>
        <w:rPr>
          <w:rFonts w:cs="Calibri"/>
        </w:rPr>
        <w:t xml:space="preserve"> Налогового кодекса Российской Федерации.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0" w:name="Par249"/>
      <w:bookmarkEnd w:id="10"/>
      <w:r>
        <w:rPr>
          <w:rFonts w:cs="Calibri"/>
        </w:rPr>
        <w:t>Приложение 2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Региональной службы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тарифам Ханты-Мансийского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 декабря 2014 года N 148-нп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1" w:name="Par255"/>
      <w:bookmarkEnd w:id="11"/>
      <w:r>
        <w:rPr>
          <w:rFonts w:cs="Calibri"/>
          <w:b/>
          <w:bCs/>
        </w:rPr>
        <w:t>ДОЛГОСРОЧНЫЕ ПАРАМЕТРЫ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РЕГУЛИРОВАНИЯ, УСТАНАВЛИВАЕМЫЕ НА ДОЛГОСРОЧНЫЙ ПЕРИОД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РЕГУЛИРОВАНИЯ ДЛЯ ФОРМИРОВАНИЯ ТАРИФОВ НА ТЕПЛОВУЮ ЭНЕРГИЮ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(МОЩНОСТЬ), ПОСТАВЛЯЕМУЮ ТЕПЛОСНАБЖАЮЩИМИ ОРГАНИЗАЦИЯМИ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ПОТРЕБИТЕЛЯМ, С ИСПОЛЬЗОВАНИЕМ МЕТОДА ИНДЕКСАЦИИ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УСТАНОВЛЕННЫХ ТАРИФОВ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907"/>
        <w:gridCol w:w="1191"/>
        <w:gridCol w:w="737"/>
        <w:gridCol w:w="907"/>
        <w:gridCol w:w="737"/>
        <w:gridCol w:w="850"/>
        <w:gridCol w:w="850"/>
        <w:gridCol w:w="1020"/>
      </w:tblGrid>
      <w:tr w:rsidR="00D736FD" w:rsidRPr="00D736F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 xml:space="preserve">N </w:t>
            </w:r>
            <w:proofErr w:type="gramStart"/>
            <w:r w:rsidRPr="00D736FD">
              <w:rPr>
                <w:rFonts w:cs="Calibri"/>
              </w:rPr>
              <w:t>п</w:t>
            </w:r>
            <w:proofErr w:type="gramEnd"/>
            <w:r w:rsidRPr="00D736FD">
              <w:rPr>
                <w:rFonts w:cs="Calibri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Базовый уровень операцион</w:t>
            </w:r>
            <w:r w:rsidRPr="00D736FD">
              <w:rPr>
                <w:rFonts w:cs="Calibri"/>
              </w:rPr>
              <w:lastRenderedPageBreak/>
              <w:t>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Индекс эффек</w:t>
            </w:r>
            <w:r w:rsidRPr="00D736FD">
              <w:rPr>
                <w:rFonts w:cs="Calibri"/>
              </w:rPr>
              <w:lastRenderedPageBreak/>
              <w:t>тивности операционных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 xml:space="preserve">Нормативный уровень </w:t>
            </w:r>
            <w:r w:rsidRPr="00D736FD">
              <w:rPr>
                <w:rFonts w:cs="Calibri"/>
              </w:rPr>
              <w:lastRenderedPageBreak/>
              <w:t>прибыли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Уровень надеж</w:t>
            </w:r>
            <w:r w:rsidRPr="00D736FD">
              <w:rPr>
                <w:rFonts w:cs="Calibri"/>
              </w:rPr>
              <w:lastRenderedPageBreak/>
              <w:t xml:space="preserve">ности теплоснабжения </w:t>
            </w:r>
            <w:hyperlink w:anchor="Par311" w:history="1">
              <w:r w:rsidRPr="00D736FD"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Показатели энергос</w:t>
            </w:r>
            <w:r w:rsidRPr="00D736FD">
              <w:rPr>
                <w:rFonts w:cs="Calibri"/>
              </w:rPr>
              <w:lastRenderedPageBreak/>
              <w:t xml:space="preserve">бережения и энергетической эффективности </w:t>
            </w:r>
            <w:hyperlink w:anchor="Par315" w:history="1">
              <w:r w:rsidRPr="00D736FD">
                <w:rPr>
                  <w:rFonts w:cs="Calibri"/>
                  <w:color w:val="0000FF"/>
                </w:rPr>
                <w:t>&lt;1&gt;</w:t>
              </w:r>
            </w:hyperlink>
            <w:r w:rsidRPr="00D736FD">
              <w:rPr>
                <w:rFonts w:cs="Calibri"/>
              </w:rPr>
              <w:t xml:space="preserve"> </w:t>
            </w:r>
            <w:hyperlink w:anchor="Par312" w:history="1">
              <w:r w:rsidRPr="00D736FD">
                <w:rPr>
                  <w:rFonts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Реализация програ</w:t>
            </w:r>
            <w:r w:rsidRPr="00D736FD">
              <w:rPr>
                <w:rFonts w:cs="Calibri"/>
              </w:rPr>
              <w:lastRenderedPageBreak/>
              <w:t xml:space="preserve">мм в области энергосбережения и повышения энергетической эффективности </w:t>
            </w:r>
            <w:hyperlink w:anchor="Par312" w:history="1">
              <w:r w:rsidRPr="00D736FD">
                <w:rPr>
                  <w:rFonts w:cs="Calibri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lastRenderedPageBreak/>
              <w:t>Динамика изменен</w:t>
            </w:r>
            <w:r w:rsidRPr="00D736FD">
              <w:rPr>
                <w:rFonts w:cs="Calibri"/>
              </w:rPr>
              <w:lastRenderedPageBreak/>
              <w:t xml:space="preserve">ия расходов на топливо </w:t>
            </w:r>
            <w:hyperlink w:anchor="Par313" w:history="1">
              <w:r w:rsidRPr="00D736FD">
                <w:rPr>
                  <w:rFonts w:cs="Calibri"/>
                  <w:color w:val="0000FF"/>
                </w:rPr>
                <w:t>&lt;***&gt;</w:t>
              </w:r>
            </w:hyperlink>
          </w:p>
        </w:tc>
      </w:tr>
      <w:tr w:rsidR="00D736FD" w:rsidRPr="00D736F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736FD" w:rsidRPr="00D736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1.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Общество с ограниченной ответственностью "Горводоканал" на территории города Когалым</w:t>
            </w:r>
          </w:p>
        </w:tc>
      </w:tr>
      <w:tr w:rsidR="00D736FD" w:rsidRPr="00D736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4394,48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0,77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</w:tr>
      <w:tr w:rsidR="00D736FD" w:rsidRPr="00D736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</w:tr>
      <w:tr w:rsidR="00D736FD" w:rsidRPr="00D736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0,58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-</w:t>
            </w:r>
          </w:p>
        </w:tc>
      </w:tr>
    </w:tbl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311"/>
      <w:bookmarkEnd w:id="12"/>
      <w:r>
        <w:rPr>
          <w:rFonts w:cs="Calibri"/>
        </w:rP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312"/>
      <w:bookmarkEnd w:id="13"/>
      <w:r>
        <w:rPr>
          <w:rFonts w:cs="Calibri"/>
        </w:rP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313"/>
      <w:bookmarkEnd w:id="14"/>
      <w:r>
        <w:rPr>
          <w:rFonts w:cs="Calibri"/>
        </w:rPr>
        <w:t xml:space="preserve">&lt;***&gt; Заполняется в случае, если орган регулирования применяет понижающий коэффициент на переходный период в соответствии с </w:t>
      </w:r>
      <w:hyperlink r:id="rId13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распределения расхода топлива.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в </w:t>
      </w:r>
      <w:r>
        <w:rPr>
          <w:rFonts w:cs="Calibri"/>
        </w:rPr>
        <w:lastRenderedPageBreak/>
        <w:t xml:space="preserve">соответствии с </w:t>
      </w:r>
      <w:hyperlink r:id="rId14" w:history="1">
        <w:r>
          <w:rPr>
            <w:rFonts w:cs="Calibri"/>
            <w:color w:val="0000FF"/>
          </w:rPr>
          <w:t>пунктом 75</w:t>
        </w:r>
      </w:hyperlink>
      <w:r>
        <w:rPr>
          <w:rFonts w:cs="Calibri"/>
        </w:rPr>
        <w:t xml:space="preserve"> Основ ценообразования в теплоснабжении,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  <w:proofErr w:type="gramEnd"/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315"/>
      <w:bookmarkEnd w:id="15"/>
      <w:r>
        <w:rPr>
          <w:rFonts w:cs="Calibri"/>
        </w:rPr>
        <w:t>&lt;1&gt; - Показатели энергосбережения и энергетической эффективности Общества с ограниченной ответственностью "Горводоканал" на территории города Когалым:</w:t>
      </w: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1134"/>
        <w:gridCol w:w="1020"/>
        <w:gridCol w:w="1020"/>
        <w:gridCol w:w="1020"/>
      </w:tblGrid>
      <w:tr w:rsidR="00D736FD" w:rsidRPr="00D736F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Единицы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2017 год</w:t>
            </w:r>
          </w:p>
        </w:tc>
      </w:tr>
      <w:tr w:rsidR="00D736FD" w:rsidRPr="00D736F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93,4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93,4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93,4</w:t>
            </w:r>
          </w:p>
        </w:tc>
      </w:tr>
      <w:tr w:rsidR="00D736FD" w:rsidRPr="00D736F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D736FD">
              <w:rPr>
                <w:rFonts w:cs="Calibri"/>
              </w:rPr>
              <w:t>кг</w:t>
            </w:r>
            <w:proofErr w:type="gramEnd"/>
            <w:r w:rsidRPr="00D736FD">
              <w:rPr>
                <w:rFonts w:cs="Calibri"/>
              </w:rPr>
              <w:t xml:space="preserve"> у.т. на 1 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161,5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161,5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161,5</w:t>
            </w:r>
          </w:p>
        </w:tc>
      </w:tr>
      <w:tr w:rsidR="00D736FD" w:rsidRPr="00D736F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2,25</w:t>
            </w:r>
          </w:p>
        </w:tc>
      </w:tr>
      <w:tr w:rsidR="00D736FD" w:rsidRPr="00D736F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к</w:t>
            </w:r>
            <w:proofErr w:type="gramStart"/>
            <w:r w:rsidRPr="00D736FD">
              <w:rPr>
                <w:rFonts w:cs="Calibri"/>
              </w:rPr>
              <w:t>Втч/Гк</w:t>
            </w:r>
            <w:proofErr w:type="gramEnd"/>
            <w:r w:rsidRPr="00D736FD">
              <w:rPr>
                <w:rFonts w:cs="Calibri"/>
              </w:rPr>
              <w:t>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28</w:t>
            </w:r>
          </w:p>
        </w:tc>
      </w:tr>
      <w:tr w:rsidR="00D736FD" w:rsidRPr="00D736F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м3/Гкал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0,4</w:t>
            </w:r>
          </w:p>
        </w:tc>
      </w:tr>
      <w:tr w:rsidR="00D736FD" w:rsidRPr="00D736F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36FD">
              <w:rPr>
                <w:rFonts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6FD" w:rsidRPr="00D736FD" w:rsidRDefault="00D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6FD">
              <w:rPr>
                <w:rFonts w:cs="Calibri"/>
              </w:rPr>
              <w:t>2,0</w:t>
            </w:r>
          </w:p>
        </w:tc>
      </w:tr>
    </w:tbl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6FD" w:rsidRDefault="00D736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AA5903" w:rsidRDefault="00AA5903"/>
    <w:sectPr w:rsidR="00AA59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FD"/>
    <w:rsid w:val="003456C3"/>
    <w:rsid w:val="0079357B"/>
    <w:rsid w:val="00AA5903"/>
    <w:rsid w:val="00CC6B87"/>
    <w:rsid w:val="00D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837916F081F25FC18DB25161FD220C81FE68F32421079B7D512639747VCE" TargetMode="External"/><Relationship Id="rId13" Type="http://schemas.openxmlformats.org/officeDocument/2006/relationships/hyperlink" Target="consultantplus://offline/ref=B0C837916F081F25FC18DB25161FD220C81CED8D304C1079B7D51263977C14D912BC2BF2E2AAD8D446V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837916F081F25FC18DB25161FD220C81CED8D304C1079B7D512639747VCE" TargetMode="External"/><Relationship Id="rId12" Type="http://schemas.openxmlformats.org/officeDocument/2006/relationships/hyperlink" Target="consultantplus://offline/ref=B0C837916F081F25FC18DB25161FD220C81CEC8C324B1079B7D51263977C14D912BC2BF2E2AADADA46V1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837916F081F25FC18DB25161FD220C81CEC89304E1079B7D512639747VCE" TargetMode="External"/><Relationship Id="rId11" Type="http://schemas.openxmlformats.org/officeDocument/2006/relationships/hyperlink" Target="consultantplus://offline/ref=B0C837916F081F25FC18C5280073852FCF10B180344A1E26E9821434C82C128C524FVC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C837916F081F25FC18DB25161FD220C81CEF85364A1079B7D512639747V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837916F081F25FC18DB25161FD220C81EEF8C374A1079B7D512639747VCE" TargetMode="External"/><Relationship Id="rId14" Type="http://schemas.openxmlformats.org/officeDocument/2006/relationships/hyperlink" Target="consultantplus://offline/ref=B0C837916F081F25FC18DB25161FD220C81CED8D304C1079B7D51263977C14D912BC2BF2E2AADCD446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11579</CharactersWithSpaces>
  <SharedDoc>false</SharedDoc>
  <HLinks>
    <vt:vector size="174" baseType="variant">
      <vt:variant>
        <vt:i4>7143521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consultantplus://offline/ref=B0C837916F081F25FC18DB25161FD220C81CED8D304C1079B7D51263977C14D912BC2BF2E2AADCD446V5E</vt:lpwstr>
      </vt:variant>
      <vt:variant>
        <vt:lpwstr/>
      </vt:variant>
      <vt:variant>
        <vt:i4>7143483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consultantplus://offline/ref=B0C837916F081F25FC18DB25161FD220C81CED8D304C1079B7D51263977C14D912BC2BF2E2AAD8D446V4E</vt:lpwstr>
      </vt:variant>
      <vt:variant>
        <vt:lpwstr/>
      </vt:variant>
      <vt:variant>
        <vt:i4>6357043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6291507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6291507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6488115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7143473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consultantplus://offline/ref=B0C837916F081F25FC18DB25161FD220C81CEC8C324B1079B7D51263977C14D912BC2BF2E2AADADA46V1E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6684727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5767171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consultantplus://offline/ref=B0C837916F081F25FC18C5280073852FCF10B180344A1E26E9821434C82C128C524FVCE</vt:lpwstr>
      </vt:variant>
      <vt:variant>
        <vt:lpwstr/>
      </vt:variant>
      <vt:variant>
        <vt:i4>786442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consultantplus://offline/ref=B0C837916F081F25FC18DB25161FD220C81CEF85364A1079B7D512639747VCE</vt:lpwstr>
      </vt:variant>
      <vt:variant>
        <vt:lpwstr/>
      </vt:variant>
      <vt:variant>
        <vt:i4>786523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consultantplus://offline/ref=B0C837916F081F25FC18DB25161FD220C81EEF8C374A1079B7D512639747VCE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consultantplus://offline/ref=B0C837916F081F25FC18DB25161FD220C81FE68F32421079B7D512639747VCE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consultantplus://offline/ref=B0C837916F081F25FC18DB25161FD220C81CED8D304C1079B7D512639747VCE</vt:lpwstr>
      </vt:variant>
      <vt:variant>
        <vt:lpwstr/>
      </vt:variant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consultantplus://offline/ref=B0C837916F081F25FC18DB25161FD220C81CEC89304E1079B7D512639747VCE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_ElizarovAV</dc:creator>
  <cp:lastModifiedBy>Мязитов Марсель Наильевич</cp:lastModifiedBy>
  <cp:revision>2</cp:revision>
  <dcterms:created xsi:type="dcterms:W3CDTF">2015-02-13T05:02:00Z</dcterms:created>
  <dcterms:modified xsi:type="dcterms:W3CDTF">2015-02-13T05:02:00Z</dcterms:modified>
</cp:coreProperties>
</file>