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835" w:right="0" w:firstLine="0"/>
        <w:jc w:val="left"/>
        <w:rPr>
          <w:rFonts w:ascii="Candara" w:hAnsi="Candara"/>
          <w:sz w:val="4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571500</wp:posOffset>
            </wp:positionH>
            <wp:positionV relativeFrom="paragraph">
              <wp:posOffset>43344</wp:posOffset>
            </wp:positionV>
            <wp:extent cx="1702435" cy="1649729"/>
            <wp:effectExtent l="0" t="0" r="0" b="0"/>
            <wp:wrapNone/>
            <wp:docPr id="3" name="image2.jpeg" descr="C:\Users\panova_ea\Desktop\ФНС\Новая папка\word\jpg\true-logo-FN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64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1E588E"/>
          <w:sz w:val="40"/>
        </w:rPr>
        <w:t>Уважаемые налогоплательщики</w:t>
      </w:r>
      <w:r>
        <w:rPr>
          <w:rFonts w:ascii="Candara" w:hAnsi="Candara"/>
          <w:color w:val="1E588E"/>
          <w:sz w:val="40"/>
        </w:rPr>
        <w:t>!</w:t>
      </w:r>
    </w:p>
    <w:p>
      <w:pPr>
        <w:pStyle w:val="BodyText"/>
        <w:ind w:left="0"/>
        <w:jc w:val="left"/>
        <w:rPr>
          <w:rFonts w:ascii="Candara"/>
          <w:sz w:val="20"/>
        </w:rPr>
      </w:pPr>
    </w:p>
    <w:p>
      <w:pPr>
        <w:pStyle w:val="BodyText"/>
        <w:spacing w:before="247"/>
        <w:ind w:left="3326" w:right="100"/>
      </w:pPr>
      <w:r>
        <w:rPr>
          <w:color w:val="405864"/>
        </w:rPr>
        <w:t>ИФНС России по Сургутскому району Ханты-Мансийского автономного округа – Югры (далее – Инспекция), напоминает, что предельный срок отчитаться о доходах, полученных в 2019 году был </w:t>
      </w:r>
      <w:hyperlink r:id="rId7">
        <w:r>
          <w:rPr>
            <w:b/>
          </w:rPr>
          <w:t>не позднее 30.07.2020</w:t>
        </w:r>
      </w:hyperlink>
      <w:r>
        <w:rPr>
          <w:b/>
        </w:rPr>
        <w:t> </w:t>
      </w:r>
      <w:hyperlink r:id="rId7">
        <w:r>
          <w:rPr/>
          <w:t>(срок продлен Постановлением</w:t>
        </w:r>
        <w:r>
          <w:rPr>
            <w:spacing w:val="52"/>
          </w:rPr>
          <w:t> </w:t>
        </w:r>
        <w:r>
          <w:rPr/>
          <w:t>Правительства</w:t>
        </w:r>
      </w:hyperlink>
    </w:p>
    <w:p>
      <w:pPr>
        <w:pStyle w:val="BodyText"/>
        <w:spacing w:line="338" w:lineRule="exact"/>
      </w:pPr>
      <w:hyperlink r:id="rId7">
        <w:r>
          <w:rPr/>
          <w:t>Российской Федерации от 02.04.2020 № 409)</w:t>
        </w:r>
      </w:hyperlink>
      <w:r>
        <w:rPr/>
        <w:t>.</w:t>
      </w:r>
    </w:p>
    <w:p>
      <w:pPr>
        <w:pStyle w:val="BodyText"/>
        <w:spacing w:before="1"/>
        <w:ind w:right="101" w:firstLine="708"/>
      </w:pPr>
      <w:r>
        <w:rPr>
          <w:color w:val="405864"/>
        </w:rPr>
        <w:t>Налог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(далее - декларация по форме 3 - НДФЛ).</w:t>
      </w:r>
    </w:p>
    <w:p>
      <w:pPr>
        <w:pStyle w:val="BodyText"/>
        <w:ind w:left="1168"/>
      </w:pPr>
      <w:r>
        <w:rPr>
          <w:color w:val="405864"/>
        </w:rPr>
        <w:t>В Инспекцию представить декларацию по форме 3 - НДФЛ следует: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460" w:right="104" w:hanging="360"/>
        <w:jc w:val="both"/>
        <w:rPr>
          <w:sz w:val="28"/>
        </w:rPr>
      </w:pPr>
      <w:r>
        <w:rPr/>
        <w:tab/>
      </w:r>
      <w:r>
        <w:rPr>
          <w:color w:val="405864"/>
          <w:sz w:val="28"/>
        </w:rPr>
        <w:t>при получении дохода от продажи имущества (например, квартиры, находившейся в собственности менее минимального срока владения), от реализации имущественных прав (переуступка права</w:t>
      </w:r>
      <w:r>
        <w:rPr>
          <w:color w:val="405864"/>
          <w:spacing w:val="-12"/>
          <w:sz w:val="28"/>
        </w:rPr>
        <w:t> </w:t>
      </w:r>
      <w:r>
        <w:rPr>
          <w:color w:val="405864"/>
          <w:sz w:val="28"/>
        </w:rPr>
        <w:t>требования);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460" w:right="102" w:hanging="360"/>
        <w:jc w:val="both"/>
        <w:rPr>
          <w:sz w:val="28"/>
        </w:rPr>
      </w:pPr>
      <w:r>
        <w:rPr/>
        <w:tab/>
      </w:r>
      <w:r>
        <w:rPr>
          <w:color w:val="405864"/>
          <w:sz w:val="28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460" w:right="105" w:hanging="360"/>
        <w:jc w:val="both"/>
        <w:rPr>
          <w:sz w:val="28"/>
        </w:rPr>
      </w:pPr>
      <w:r>
        <w:rPr/>
        <w:tab/>
      </w:r>
      <w:r>
        <w:rPr>
          <w:color w:val="405864"/>
          <w:sz w:val="28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</w:t>
      </w:r>
      <w:r>
        <w:rPr>
          <w:color w:val="405864"/>
          <w:spacing w:val="-11"/>
          <w:sz w:val="28"/>
        </w:rPr>
        <w:t> </w:t>
      </w:r>
      <w:r>
        <w:rPr>
          <w:color w:val="405864"/>
          <w:sz w:val="28"/>
        </w:rPr>
        <w:t>имущества;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460" w:right="104" w:hanging="360"/>
        <w:jc w:val="both"/>
        <w:rPr>
          <w:sz w:val="28"/>
        </w:rPr>
      </w:pPr>
      <w:r>
        <w:rPr/>
        <w:tab/>
      </w:r>
      <w:r>
        <w:rPr>
          <w:color w:val="405864"/>
          <w:sz w:val="28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</w:t>
      </w:r>
      <w:r>
        <w:rPr>
          <w:color w:val="405864"/>
          <w:spacing w:val="-11"/>
          <w:sz w:val="28"/>
        </w:rPr>
        <w:t> </w:t>
      </w:r>
      <w:r>
        <w:rPr>
          <w:color w:val="405864"/>
          <w:sz w:val="28"/>
        </w:rPr>
        <w:t>тотализаторам;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460" w:right="107" w:hanging="360"/>
        <w:jc w:val="both"/>
        <w:rPr>
          <w:sz w:val="28"/>
        </w:rPr>
      </w:pPr>
      <w:r>
        <w:rPr/>
        <w:tab/>
      </w:r>
      <w:r>
        <w:rPr>
          <w:color w:val="405864"/>
          <w:sz w:val="28"/>
        </w:rPr>
        <w:t>при получении дохода от источников, находящихся за пределами Российской</w:t>
      </w:r>
      <w:r>
        <w:rPr>
          <w:color w:val="405864"/>
          <w:spacing w:val="-3"/>
          <w:sz w:val="28"/>
        </w:rPr>
        <w:t> </w:t>
      </w:r>
      <w:r>
        <w:rPr>
          <w:color w:val="405864"/>
          <w:sz w:val="28"/>
        </w:rPr>
        <w:t>Федерации.</w:t>
      </w:r>
    </w:p>
    <w:p>
      <w:pPr>
        <w:pStyle w:val="BodyText"/>
        <w:ind w:right="103"/>
      </w:pPr>
      <w:r>
        <w:rPr>
          <w:color w:val="405864"/>
        </w:rPr>
        <w:t>Задекларировать полученные в 2019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>
      <w:pPr>
        <w:spacing w:before="0"/>
        <w:ind w:left="460" w:right="101" w:firstLine="0"/>
        <w:jc w:val="both"/>
        <w:rPr>
          <w:b/>
          <w:sz w:val="28"/>
        </w:rPr>
      </w:pPr>
      <w:r>
        <w:rPr>
          <w:color w:val="405864"/>
          <w:sz w:val="28"/>
        </w:rPr>
        <w:t>Исчисленный в декларации налог к уплате необходимо уплатить</w:t>
      </w:r>
      <w:r>
        <w:rPr>
          <w:color w:val="405864"/>
          <w:sz w:val="28"/>
          <w:u w:val="thick" w:color="405864"/>
        </w:rPr>
        <w:t> </w:t>
      </w:r>
      <w:r>
        <w:rPr>
          <w:b/>
          <w:color w:val="405864"/>
          <w:sz w:val="28"/>
          <w:u w:val="thick" w:color="405864"/>
        </w:rPr>
        <w:t>не позднее</w:t>
      </w:r>
      <w:r>
        <w:rPr>
          <w:b/>
          <w:color w:val="405864"/>
          <w:sz w:val="28"/>
        </w:rPr>
        <w:t> </w:t>
      </w:r>
      <w:r>
        <w:rPr>
          <w:b/>
          <w:color w:val="405864"/>
          <w:sz w:val="28"/>
          <w:u w:val="thick" w:color="405864"/>
        </w:rPr>
        <w:t>15.07.2020.</w:t>
      </w:r>
    </w:p>
    <w:p>
      <w:pPr>
        <w:pStyle w:val="BodyText"/>
        <w:ind w:right="99" w:firstLine="708"/>
      </w:pPr>
      <w:r>
        <w:rPr/>
        <w:t>На граждан, представляющих налоговую декларацию за 2019 год исключительно с целью получения </w:t>
      </w:r>
      <w:hyperlink r:id="rId8">
        <w:r>
          <w:rPr/>
          <w:t>налоговых вычетов по НДФЛ </w:t>
        </w:r>
      </w:hyperlink>
      <w:r>
        <w:rPr/>
        <w:t>(стандартных, социальных, инвестиционных, имущественных при покупке жилья), установленный срок подачи декларации</w:t>
      </w:r>
      <w:r>
        <w:rPr>
          <w:u w:val="single"/>
        </w:rPr>
        <w:t> – 30.07.2020 (срок продлен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957" w:top="480" w:bottom="2140" w:left="440" w:right="460"/>
        </w:sectPr>
      </w:pPr>
    </w:p>
    <w:p>
      <w:pPr>
        <w:pStyle w:val="BodyText"/>
        <w:spacing w:before="88"/>
        <w:jc w:val="left"/>
      </w:pPr>
      <w:r>
        <w:rPr>
          <w:rFonts w:ascii="Times New Roman" w:hAnsi="Times New Roman"/>
          <w:spacing w:val="-71"/>
          <w:w w:val="100"/>
          <w:u w:val="single"/>
        </w:rPr>
        <w:t> </w:t>
      </w:r>
      <w:r>
        <w:rPr>
          <w:u w:val="single"/>
        </w:rPr>
        <w:t>Постановлением Правительства Российской Федерации от 02.04.2020 № 409)</w:t>
      </w:r>
      <w:r>
        <w:rPr>
          <w:spacing w:val="84"/>
          <w:u w:val="single"/>
        </w:rPr>
        <w:t> </w:t>
      </w:r>
      <w:r>
        <w:rPr>
          <w:u w:val="single"/>
        </w:rPr>
        <w:t>-</w:t>
      </w:r>
    </w:p>
    <w:p>
      <w:pPr>
        <w:pStyle w:val="BodyText"/>
        <w:spacing w:before="1"/>
        <w:jc w:val="left"/>
      </w:pPr>
      <w:r>
        <w:rPr>
          <w:rFonts w:ascii="Times New Roman" w:hAnsi="Times New Roman"/>
          <w:spacing w:val="-71"/>
          <w:w w:val="100"/>
          <w:u w:val="single"/>
        </w:rPr>
        <w:t> </w:t>
      </w:r>
      <w:r>
        <w:rPr>
          <w:u w:val="single"/>
        </w:rPr>
        <w:t>не распространяется</w:t>
      </w:r>
    </w:p>
    <w:p>
      <w:pPr>
        <w:pStyle w:val="BodyText"/>
        <w:tabs>
          <w:tab w:pos="1168" w:val="left" w:leader="none"/>
        </w:tabs>
        <w:jc w:val="left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Такие декларации можно представить в любое время в течение</w:t>
      </w:r>
      <w:r>
        <w:rPr>
          <w:spacing w:val="45"/>
          <w:u w:val="single"/>
        </w:rPr>
        <w:t> </w:t>
      </w:r>
      <w:r>
        <w:rPr>
          <w:u w:val="single"/>
        </w:rPr>
        <w:t>всего</w:t>
      </w:r>
    </w:p>
    <w:p>
      <w:pPr>
        <w:pStyle w:val="BodyText"/>
        <w:spacing w:line="337" w:lineRule="exact" w:before="1"/>
        <w:jc w:val="left"/>
      </w:pPr>
      <w:r>
        <w:rPr>
          <w:rFonts w:ascii="Times New Roman" w:hAnsi="Times New Roman"/>
          <w:spacing w:val="-71"/>
          <w:w w:val="100"/>
          <w:u w:val="single"/>
        </w:rPr>
        <w:t> </w:t>
      </w:r>
      <w:r>
        <w:rPr>
          <w:u w:val="single"/>
        </w:rPr>
        <w:t>года, без каких-либо налоговых санкций.</w:t>
      </w:r>
    </w:p>
    <w:p>
      <w:pPr>
        <w:pStyle w:val="BodyText"/>
        <w:ind w:right="98" w:firstLine="708"/>
      </w:pPr>
      <w:r>
        <w:rPr/>
        <w:t>Для заполнения декларации по форме 3 – НДФЛ за 2019 год наиболее удобно использовать специальную компьютерную </w:t>
      </w:r>
      <w:hyperlink r:id="rId9">
        <w:r>
          <w:rPr/>
          <w:t>программу «Декларация»</w:t>
        </w:r>
      </w:hyperlink>
      <w:r>
        <w:rPr/>
        <w:t>, которая находится в свободном доступе на сайте ФНС России 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>
      <w:pPr>
        <w:pStyle w:val="BodyText"/>
        <w:ind w:right="98" w:firstLine="708"/>
      </w:pPr>
      <w:r>
        <w:rPr/>
        <w:t>Также для пользователей сервиса </w:t>
      </w:r>
      <w:hyperlink r:id="rId10">
        <w:r>
          <w:rPr>
            <w:b/>
          </w:rPr>
          <w:t>«Личный кабинет</w:t>
        </w:r>
      </w:hyperlink>
      <w:r>
        <w:rPr>
          <w:b/>
        </w:rPr>
        <w:t> </w:t>
      </w:r>
      <w:hyperlink r:id="rId10">
        <w:r>
          <w:rPr>
            <w:b/>
          </w:rPr>
          <w:t>налогоплательщика для физических лиц»</w:t>
        </w:r>
      </w:hyperlink>
      <w:r>
        <w:rPr>
          <w:b/>
        </w:rPr>
        <w:t> </w:t>
      </w:r>
      <w:r>
        <w:rPr/>
        <w:t>(далее - «Личный кабинет налогоплательщика») доступно заполнение декларации по форме 3 - НДФЛ онлайн в интерактивном режиме </w:t>
      </w:r>
      <w:r>
        <w:rPr>
          <w:spacing w:val="-2"/>
        </w:rPr>
        <w:t>без </w:t>
      </w:r>
      <w:r>
        <w:rPr/>
        <w:t>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 налогоплательщика»), а также прилагаемого к налоговой декларации комплекта документов в налоговый орган в электронной форме непосредственно с сайта ФНС</w:t>
      </w:r>
      <w:r>
        <w:rPr>
          <w:spacing w:val="-9"/>
        </w:rPr>
        <w:t> </w:t>
      </w:r>
      <w:r>
        <w:rPr/>
        <w:t>России.</w:t>
      </w:r>
    </w:p>
    <w:p>
      <w:pPr>
        <w:pStyle w:val="BodyText"/>
        <w:ind w:right="101" w:firstLine="708"/>
      </w:pPr>
      <w:r>
        <w:rPr/>
        <w:t>С 2020 года у граждан появилась возможность направлять декларации на бумаге не только через налоговые инспекции, но и через МФЦ, </w:t>
      </w:r>
      <w:hyperlink r:id="rId11">
        <w:r>
          <w:rPr/>
          <w:t>если в регионе</w:t>
        </w:r>
      </w:hyperlink>
      <w:r>
        <w:rPr/>
        <w:t> </w:t>
      </w:r>
      <w:hyperlink r:id="rId11">
        <w:r>
          <w:rPr/>
          <w:t>принято решение об оказании в них этой услуги</w:t>
        </w:r>
      </w:hyperlink>
      <w:r>
        <w:rPr/>
        <w:t>.</w:t>
      </w:r>
    </w:p>
    <w:p>
      <w:pPr>
        <w:spacing w:before="1"/>
        <w:ind w:left="460" w:right="101" w:firstLine="708"/>
        <w:jc w:val="both"/>
        <w:rPr>
          <w:b/>
          <w:sz w:val="28"/>
        </w:rPr>
      </w:pPr>
      <w:r>
        <w:rPr>
          <w:b/>
          <w:sz w:val="28"/>
        </w:rPr>
        <w:t>Важно! Декларацию по форме 3 – НДФЛ необходимо представлять в налоговый орган по месту своего учета (месту жительства).</w:t>
      </w:r>
    </w:p>
    <w:sectPr>
      <w:pgSz w:w="11910" w:h="16840"/>
      <w:pgMar w:header="0" w:footer="1957" w:top="460" w:bottom="214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ndara">
    <w:altName w:val="Candara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251587584">
          <wp:simplePos x="0" y="0"/>
          <wp:positionH relativeFrom="page">
            <wp:posOffset>571500</wp:posOffset>
          </wp:positionH>
          <wp:positionV relativeFrom="page">
            <wp:posOffset>9322434</wp:posOffset>
          </wp:positionV>
          <wp:extent cx="6510655" cy="11182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0655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1081"/>
      </w:pPr>
      <w:rPr>
        <w:rFonts w:hint="default" w:ascii="Symbol" w:hAnsi="Symbol" w:eastAsia="Symbol" w:cs="Symbol"/>
        <w:color w:val="405864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4" w:hanging="10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9" w:hanging="10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23" w:hanging="10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8" w:hanging="10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33" w:hanging="10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7" w:hanging="10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42" w:hanging="10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97" w:hanging="10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460"/>
      <w:jc w:val="both"/>
    </w:pPr>
    <w:rPr>
      <w:rFonts w:ascii="Tahoma" w:hAnsi="Tahoma" w:eastAsia="Tahoma" w:cs="Tahoma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60" w:right="104" w:hanging="360"/>
      <w:jc w:val="both"/>
    </w:pPr>
    <w:rPr>
      <w:rFonts w:ascii="Tahoma" w:hAnsi="Tahoma" w:eastAsia="Tahoma" w:cs="Tahom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static.government.ru/media/files/kTj6vbMop2fN43iEZ16idfPSKriXYK5o.pdf" TargetMode="External"/><Relationship Id="rId8" Type="http://schemas.openxmlformats.org/officeDocument/2006/relationships/hyperlink" Target="https://www.nalog.ru/rn77/taxation/taxes/ndfl/nalog_vichet/" TargetMode="External"/><Relationship Id="rId9" Type="http://schemas.openxmlformats.org/officeDocument/2006/relationships/hyperlink" Target="https://www.nalog.ru/rn77/program/5961249/" TargetMode="External"/><Relationship Id="rId10" Type="http://schemas.openxmlformats.org/officeDocument/2006/relationships/hyperlink" Target="https://lkfl.nalog.ru/lk/" TargetMode="External"/><Relationship Id="rId11" Type="http://schemas.openxmlformats.org/officeDocument/2006/relationships/hyperlink" Target="https://www.nalog.ru/rn77/taxation/taxes/dec/#ti" TargetMode="Externa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dc:title>Уважаемые налогоплательщики</dc:title>
  <dcterms:created xsi:type="dcterms:W3CDTF">2020-11-16T09:20:20Z</dcterms:created>
  <dcterms:modified xsi:type="dcterms:W3CDTF">2020-11-16T09:20:20Z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