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FC9" w:rsidRDefault="00301FC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01FC9" w:rsidRDefault="00301FC9">
      <w:pPr>
        <w:pStyle w:val="ConsPlusNormal"/>
        <w:jc w:val="both"/>
        <w:outlineLvl w:val="0"/>
      </w:pPr>
    </w:p>
    <w:p w:rsidR="00301FC9" w:rsidRDefault="00301FC9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301FC9" w:rsidRDefault="00301FC9">
      <w:pPr>
        <w:pStyle w:val="ConsPlusTitle"/>
        <w:jc w:val="center"/>
      </w:pPr>
    </w:p>
    <w:p w:rsidR="00301FC9" w:rsidRDefault="00301FC9">
      <w:pPr>
        <w:pStyle w:val="ConsPlusTitle"/>
        <w:jc w:val="center"/>
      </w:pPr>
      <w:r>
        <w:t>ПОСТАНОВЛЕНИЕ</w:t>
      </w:r>
    </w:p>
    <w:p w:rsidR="00301FC9" w:rsidRDefault="00301FC9">
      <w:pPr>
        <w:pStyle w:val="ConsPlusTitle"/>
        <w:jc w:val="center"/>
      </w:pPr>
      <w:r>
        <w:t>от 3 декабря 2021 г. N 530-п</w:t>
      </w:r>
    </w:p>
    <w:p w:rsidR="00301FC9" w:rsidRDefault="00301FC9">
      <w:pPr>
        <w:pStyle w:val="ConsPlusTitle"/>
        <w:jc w:val="center"/>
      </w:pPr>
    </w:p>
    <w:p w:rsidR="00301FC9" w:rsidRDefault="00301FC9">
      <w:pPr>
        <w:pStyle w:val="ConsPlusTitle"/>
        <w:jc w:val="center"/>
      </w:pPr>
      <w:r>
        <w:t>ОБ УСТАНОВЛЕНИИ ПРЕДЕЛЬНЫХ РАЗМЕРОВ ПЛАТЫ ЗА ПРОВЕДЕНИЕ</w:t>
      </w:r>
    </w:p>
    <w:p w:rsidR="00301FC9" w:rsidRDefault="00301FC9">
      <w:pPr>
        <w:pStyle w:val="ConsPlusTitle"/>
        <w:jc w:val="center"/>
      </w:pPr>
      <w:r>
        <w:t>ТЕХНИЧЕСКОГО ОСМОТРА ТРАНСПОРТНЫХ СРЕДСТВ В ХАНТЫ-МАНСИЙСКОМ</w:t>
      </w:r>
    </w:p>
    <w:p w:rsidR="00301FC9" w:rsidRDefault="00301FC9">
      <w:pPr>
        <w:pStyle w:val="ConsPlusTitle"/>
        <w:jc w:val="center"/>
      </w:pPr>
      <w:r>
        <w:t>АВТОНОМНОМ ОКРУГЕ - ЮГРЕ</w:t>
      </w: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1 июля 2011 года N 170-ФЗ "О техническом осмотре транспортных средств и о внесении изменений в отдельные законодательные акты Российской Федерации", учитывая решение совместного заседания общественных советов при Региональной службе по тарифам Ханты-Мансийского автономного округа - Югры и Департаменте дорожного хозяйства и транспорта Ханты-Мансийского автономного округа - Югры (протокол заседания от 9 ноября 2021 года), Правительство Ханты-Мансийского автономного округа - Югры постановляет:</w:t>
      </w:r>
    </w:p>
    <w:p w:rsidR="00301FC9" w:rsidRDefault="00301FC9">
      <w:pPr>
        <w:pStyle w:val="ConsPlusNormal"/>
        <w:spacing w:before="220"/>
        <w:ind w:firstLine="540"/>
        <w:jc w:val="both"/>
      </w:pPr>
      <w:r>
        <w:t xml:space="preserve">1. Установить предельные </w:t>
      </w:r>
      <w:hyperlink w:anchor="P30" w:history="1">
        <w:r>
          <w:rPr>
            <w:color w:val="0000FF"/>
          </w:rPr>
          <w:t>размеры</w:t>
        </w:r>
      </w:hyperlink>
      <w:r>
        <w:t xml:space="preserve"> платы за проведение технического осмотра транспортных средств в Ханты-Мансийском автономном округе - Югре согласно приложению к настоящему постановлению.</w:t>
      </w:r>
    </w:p>
    <w:p w:rsidR="00301FC9" w:rsidRDefault="00301FC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Ханты-Мансийского автономного округа - Югры от 4 декабря 2020 года N 547-п "Об установлении предельных размеров платы за проведение технического осмотра транспортных средств в Ханты-Мансийском автономном округе - Югре".</w:t>
      </w:r>
    </w:p>
    <w:p w:rsidR="00301FC9" w:rsidRDefault="00301FC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2022 года.</w:t>
      </w: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right"/>
      </w:pPr>
      <w:r>
        <w:t>Первый заместитель</w:t>
      </w:r>
    </w:p>
    <w:p w:rsidR="00301FC9" w:rsidRDefault="00301FC9">
      <w:pPr>
        <w:pStyle w:val="ConsPlusNormal"/>
        <w:jc w:val="right"/>
      </w:pPr>
      <w:r>
        <w:t>Губернатора Ханты-Мансийского</w:t>
      </w:r>
    </w:p>
    <w:p w:rsidR="00301FC9" w:rsidRDefault="00301FC9">
      <w:pPr>
        <w:pStyle w:val="ConsPlusNormal"/>
        <w:jc w:val="right"/>
      </w:pPr>
      <w:r>
        <w:t>автономного округа - Югры</w:t>
      </w:r>
    </w:p>
    <w:p w:rsidR="00301FC9" w:rsidRDefault="00301FC9">
      <w:pPr>
        <w:pStyle w:val="ConsPlusNormal"/>
        <w:jc w:val="right"/>
      </w:pPr>
      <w:r>
        <w:t>А.А.ОХЛОПКОВ</w:t>
      </w: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right"/>
        <w:outlineLvl w:val="0"/>
      </w:pPr>
      <w:r>
        <w:t>Приложение</w:t>
      </w:r>
    </w:p>
    <w:p w:rsidR="00301FC9" w:rsidRDefault="00301FC9">
      <w:pPr>
        <w:pStyle w:val="ConsPlusNormal"/>
        <w:jc w:val="right"/>
      </w:pPr>
      <w:r>
        <w:t>к постановлению Правительства</w:t>
      </w:r>
    </w:p>
    <w:p w:rsidR="00301FC9" w:rsidRDefault="00301FC9">
      <w:pPr>
        <w:pStyle w:val="ConsPlusNormal"/>
        <w:jc w:val="right"/>
      </w:pPr>
      <w:r>
        <w:t>Ханты-Мансийского</w:t>
      </w:r>
    </w:p>
    <w:p w:rsidR="00301FC9" w:rsidRDefault="00301FC9">
      <w:pPr>
        <w:pStyle w:val="ConsPlusNormal"/>
        <w:jc w:val="right"/>
      </w:pPr>
      <w:r>
        <w:t>автономного округа - Югры</w:t>
      </w:r>
    </w:p>
    <w:p w:rsidR="00301FC9" w:rsidRDefault="00301FC9">
      <w:pPr>
        <w:pStyle w:val="ConsPlusNormal"/>
        <w:jc w:val="right"/>
      </w:pPr>
      <w:r>
        <w:t>от 3 декабря 2021 года N 530-п</w:t>
      </w: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Title"/>
        <w:jc w:val="center"/>
      </w:pPr>
      <w:bookmarkStart w:id="0" w:name="P30"/>
      <w:bookmarkEnd w:id="0"/>
      <w:r>
        <w:t>ПРЕДЕЛЬНЫЕ РАЗМЕРЫ</w:t>
      </w:r>
    </w:p>
    <w:p w:rsidR="00301FC9" w:rsidRDefault="00301FC9">
      <w:pPr>
        <w:pStyle w:val="ConsPlusTitle"/>
        <w:jc w:val="center"/>
      </w:pPr>
      <w:r>
        <w:t>ПЛАТЫ ЗА ПРОВЕДЕНИЕ ТЕХНИЧЕСКОГО ОСМОТРА ТРАНСПОРТНЫХ</w:t>
      </w:r>
    </w:p>
    <w:p w:rsidR="00301FC9" w:rsidRDefault="00301FC9">
      <w:pPr>
        <w:pStyle w:val="ConsPlusTitle"/>
        <w:jc w:val="center"/>
      </w:pPr>
      <w:r>
        <w:t>СРЕДСТВ В ХАНТЫ-МАНСИЙСКОМ АВТОНОМНОМ ОКРУГЕ - ЮГРЕ</w:t>
      </w:r>
    </w:p>
    <w:p w:rsidR="00301FC9" w:rsidRDefault="00301F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6746"/>
        <w:gridCol w:w="1417"/>
      </w:tblGrid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center"/>
            </w:pPr>
            <w:r>
              <w:t xml:space="preserve">Категории транспортных средств </w:t>
            </w:r>
            <w:hyperlink w:anchor="P14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 xml:space="preserve">Размер платы, руб. </w:t>
            </w:r>
            <w:hyperlink w:anchor="P14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М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используемые для перевозки пассажиров </w:t>
            </w:r>
            <w:r>
              <w:lastRenderedPageBreak/>
              <w:t>и имеющие, помимо места водителя, не более 8 мест для сидения, - легковые автомобили)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lastRenderedPageBreak/>
              <w:t>681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М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1339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М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1634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N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не более 3,5 тонн)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726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свыше 3,5 тонн, но не более 12 тонн)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1430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N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более 12 тонн)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1543</w:t>
            </w:r>
          </w:p>
        </w:tc>
      </w:tr>
      <w:tr w:rsidR="00301FC9">
        <w:tc>
          <w:tcPr>
            <w:tcW w:w="720" w:type="dxa"/>
            <w:vMerge w:val="restart"/>
          </w:tcPr>
          <w:p w:rsidR="00301FC9" w:rsidRDefault="00301FC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О 1 (прицепы (полуприцепы), технически допустимая максимальная масса которых не более 0,75 тонн)</w:t>
            </w:r>
          </w:p>
        </w:tc>
        <w:tc>
          <w:tcPr>
            <w:tcW w:w="1417" w:type="dxa"/>
            <w:vMerge w:val="restart"/>
          </w:tcPr>
          <w:p w:rsidR="00301FC9" w:rsidRDefault="00301FC9">
            <w:pPr>
              <w:pStyle w:val="ConsPlusNormal"/>
              <w:jc w:val="center"/>
            </w:pPr>
            <w:r>
              <w:t>567</w:t>
            </w:r>
          </w:p>
        </w:tc>
      </w:tr>
      <w:tr w:rsidR="00301FC9">
        <w:tc>
          <w:tcPr>
            <w:tcW w:w="720" w:type="dxa"/>
            <w:vMerge/>
          </w:tcPr>
          <w:p w:rsidR="00301FC9" w:rsidRDefault="00301FC9">
            <w:pPr>
              <w:spacing w:after="1" w:line="0" w:lineRule="atLeast"/>
            </w:pP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О2 (прицепы (полуприцепы), технически допустимая максимальная масса которых свыше 0,75 тонн, но не более 3,5 тонн)</w:t>
            </w:r>
          </w:p>
        </w:tc>
        <w:tc>
          <w:tcPr>
            <w:tcW w:w="1417" w:type="dxa"/>
            <w:vMerge/>
          </w:tcPr>
          <w:p w:rsidR="00301FC9" w:rsidRDefault="00301FC9">
            <w:pPr>
              <w:spacing w:after="1" w:line="0" w:lineRule="atLeast"/>
            </w:pPr>
          </w:p>
        </w:tc>
      </w:tr>
      <w:tr w:rsidR="00301FC9">
        <w:tc>
          <w:tcPr>
            <w:tcW w:w="720" w:type="dxa"/>
            <w:vMerge w:val="restart"/>
          </w:tcPr>
          <w:p w:rsidR="00301FC9" w:rsidRDefault="00301FC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О 3 (прицепы (полуприцепы), технически допустимая максимальная масса которых свыше 3,5 тонн, но не более 10 тонн)</w:t>
            </w:r>
          </w:p>
        </w:tc>
        <w:tc>
          <w:tcPr>
            <w:tcW w:w="1417" w:type="dxa"/>
            <w:vMerge w:val="restart"/>
          </w:tcPr>
          <w:p w:rsidR="00301FC9" w:rsidRDefault="00301FC9">
            <w:pPr>
              <w:pStyle w:val="ConsPlusNormal"/>
              <w:jc w:val="center"/>
            </w:pPr>
            <w:r>
              <w:t>999</w:t>
            </w:r>
          </w:p>
        </w:tc>
      </w:tr>
      <w:tr w:rsidR="00301FC9">
        <w:tc>
          <w:tcPr>
            <w:tcW w:w="720" w:type="dxa"/>
            <w:vMerge/>
          </w:tcPr>
          <w:p w:rsidR="00301FC9" w:rsidRDefault="00301FC9">
            <w:pPr>
              <w:spacing w:after="1" w:line="0" w:lineRule="atLeast"/>
            </w:pP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О 4 (прицепы (полуприцепы), технически допустимая максимальная масса которых более 10 тонн)</w:t>
            </w:r>
          </w:p>
        </w:tc>
        <w:tc>
          <w:tcPr>
            <w:tcW w:w="1417" w:type="dxa"/>
            <w:vMerge/>
          </w:tcPr>
          <w:p w:rsidR="00301FC9" w:rsidRDefault="00301FC9">
            <w:pPr>
              <w:spacing w:after="1" w:line="0" w:lineRule="atLeast"/>
            </w:pP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L (мототранспортные средства)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227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М1)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726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М2)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1339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М3)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1543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N 1), транспортные средства - цистерны (на базе N 1), транспортные средства - цистерны для перевозки и заправки сжиженных углеводородных газов (на базе N 1), транспортные средства - фургоны (на базе N 1), транспортные средства - фургоны, имеющие места для перевозки людей (на базе N 1), автоэвакуаторы (на базе N 1)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772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 xml:space="preserve">Специальные транспортные средства оперативных служб (на базе N 2), автоэвакуаторы (на базе N 2), транспортные средства с грузоподъемными устройствами (на базе N 2), транспортные средства - цистерны (на базе N 2), транспортные средства - цистерны для </w:t>
            </w:r>
            <w:r>
              <w:lastRenderedPageBreak/>
              <w:t>перевозки и заправки сжиженных углеводородных газов (на базе N 2), транспортные средства - фургоны (на базе N 2), транспортные средства - цистерны (на базе N 2), транспортные средства для перевозки пищевых продуктов (на базе N 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lastRenderedPageBreak/>
              <w:t>1498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N 3), автоэвакуаторы (на базе N 3), транспортные средства с грузоподъемными устройствами (на базе N 3), транспортные средства - цистерны (на базе N 3), транспортные средства - цистерны для перевозки и заправки сжиженных углеводородных газов (на базе N 3), транспортные средства - фургоны (на базе N 3), транспортные средства для перевозки пищевых продуктов (на базе N 3)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1611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О1, О2), транспортные средства - цистерны (на базе О1, О2), транспортные средства - цистерны для перевозки и заправки сжиженных углеводородных газов (на базе О1, О2), транспортные средства - фургоны (на базе О1, О2), транспортные средства для перевозки пищевых продуктов (на базе О1, О2)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590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О3, О4), автоэвакуаторы (на базе О3, О4), транспортные средства с грузоподъемными устройствами (на базе О3, О4), транспортные средства - цистерны (на базе О3, О4), транспортные средства - цистерны для перевозки и заправки сжиженных углеводородных газов (на базе О3, О4), транспортные средства - фургоны (на базе О3, О4), транспортные средства для перевозки пищевых продуктов (на базе О3, О4)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1044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оперативных служб (на базе L)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250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Специализированные транспортные средства (на базе N 1), транспортные средства - цистерны для перевозки и заправки нефтепродуктов (на базе N 1)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840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Специализированные транспортные средства (на базе N 2), транспортные средства - цистерны для перевозки и заправки нефтепродуктов (на базе N 2), транспортные средства - фургоны, имеющие места для перевозки людей (на базе N 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1634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Специализированные транспортные средства (на базе N 3), транспортные средства - фургоны, имеющие места для перевозки людей (на базе N 3), транспортные средства - цистерны для перевозки и заправки нефтепродуктов (на базе N 3)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1770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Специализированные транспортные средства (на базе О1, О2)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658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Специализированные транспортные средства (на базе О3, О4)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1158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для коммунального хозяйства и содержания дорог (на базе N 1)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794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для коммунального хозяйства и содержания дорог (на базе N 2), транспортные средства для перевозки грузов с использованием прицепа-роспуска (на базе N 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1566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для коммунального хозяйства и содержания дорог (на базе N 3), транспортные средства для перевозки грузов с использованием прицепа-роспуска (на базе N 3)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1702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для коммунального хозяйства и содержания дорог (на базе О1, О2), транспортные средства - цистерны для перевозки и заправки нефтепродуктов (на базе О1, О2)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636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Специальные транспортные средства для коммунального хозяйства и содержания дорог (на базе О3, О4), транспортные средства - цистерны для перевозки и заправки нефтепродуктов (на базе О3, О4)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1089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Транспортные средства для перевозки опасных грузов (на базе N 1)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953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Транспортные средства для перевозки опасных грузов (на базе N 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1861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Транспортные средства для перевозки опасных грузов (на базе N 3)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1997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Транспортные средства для перевозки опасных грузов (на базе О1, О2)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681</w:t>
            </w:r>
          </w:p>
        </w:tc>
      </w:tr>
      <w:tr w:rsidR="00301FC9">
        <w:tc>
          <w:tcPr>
            <w:tcW w:w="720" w:type="dxa"/>
          </w:tcPr>
          <w:p w:rsidR="00301FC9" w:rsidRDefault="00301FC9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746" w:type="dxa"/>
          </w:tcPr>
          <w:p w:rsidR="00301FC9" w:rsidRDefault="00301FC9">
            <w:pPr>
              <w:pStyle w:val="ConsPlusNormal"/>
              <w:jc w:val="both"/>
            </w:pPr>
            <w:r>
              <w:t>Транспортные средства для перевозки опасных грузов (на базе О3, О4)</w:t>
            </w:r>
          </w:p>
        </w:tc>
        <w:tc>
          <w:tcPr>
            <w:tcW w:w="1417" w:type="dxa"/>
          </w:tcPr>
          <w:p w:rsidR="00301FC9" w:rsidRDefault="00301FC9">
            <w:pPr>
              <w:pStyle w:val="ConsPlusNormal"/>
              <w:jc w:val="center"/>
            </w:pPr>
            <w:r>
              <w:t>1203</w:t>
            </w:r>
          </w:p>
        </w:tc>
      </w:tr>
    </w:tbl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ind w:firstLine="540"/>
        <w:jc w:val="both"/>
      </w:pPr>
      <w:r>
        <w:t>--------------------------------</w:t>
      </w:r>
    </w:p>
    <w:p w:rsidR="00301FC9" w:rsidRDefault="00301FC9">
      <w:pPr>
        <w:pStyle w:val="ConsPlusNormal"/>
        <w:spacing w:before="220"/>
        <w:ind w:firstLine="540"/>
        <w:jc w:val="both"/>
      </w:pPr>
      <w:bookmarkStart w:id="1" w:name="P140"/>
      <w:bookmarkEnd w:id="1"/>
      <w:r>
        <w:t xml:space="preserve">&lt;*&gt; Категории транспортных средств соответствуют классификации, установленной в </w:t>
      </w:r>
      <w:hyperlink r:id="rId7" w:history="1">
        <w:r>
          <w:rPr>
            <w:color w:val="0000FF"/>
          </w:rPr>
          <w:t>приложении N 1</w:t>
        </w:r>
      </w:hyperlink>
      <w:r>
        <w:t xml:space="preserve"> к техническому регламенту Таможенного союза "О безопасности колесных транспортных средств" (ТР ТС 018/2011).</w:t>
      </w:r>
    </w:p>
    <w:p w:rsidR="00301FC9" w:rsidRDefault="00301FC9">
      <w:pPr>
        <w:pStyle w:val="ConsPlusNormal"/>
        <w:spacing w:before="220"/>
        <w:ind w:firstLine="540"/>
        <w:jc w:val="both"/>
      </w:pPr>
      <w:bookmarkStart w:id="2" w:name="P141"/>
      <w:bookmarkEnd w:id="2"/>
      <w:r>
        <w:t xml:space="preserve">&lt;**&gt; Не подлежит налогообложению налогом на добавленную стоимость в соответствии со </w:t>
      </w:r>
      <w:hyperlink r:id="rId8" w:history="1">
        <w:r>
          <w:rPr>
            <w:color w:val="0000FF"/>
          </w:rPr>
          <w:t>ст. 149</w:t>
        </w:r>
      </w:hyperlink>
      <w:r>
        <w:t xml:space="preserve"> Налогового кодекса Российской Федерации.</w:t>
      </w: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jc w:val="both"/>
      </w:pPr>
    </w:p>
    <w:p w:rsidR="00301FC9" w:rsidRDefault="00301F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2A27" w:rsidRDefault="00592A27">
      <w:bookmarkStart w:id="3" w:name="_GoBack"/>
      <w:bookmarkEnd w:id="3"/>
    </w:p>
    <w:sectPr w:rsidR="00592A27" w:rsidSect="00BE1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C9"/>
    <w:rsid w:val="00301FC9"/>
    <w:rsid w:val="0059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2B41A-E3AF-4F0E-B011-DEE0C99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1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1F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BFA94B6B28E541DE1B7C08B58C6BCC1B8DA012C3D5B9B6656D8A53B6ADC7171258DBA03F5B7527FB0586252961A4F0FE325A42B720E75O3h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DBFA94B6B28E541DE1B7C08B58C6BCC6B1D8032D355B9B6656D8A53B6ADC7171258DBA03F5B25377B0586252961A4F0FE325A42B720E75O3h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DBFA94B6B28E541DE1A9CD9D3491B3C3B3850B2F3E52C93B00DEF2643ADA2431658BEF52B1E2577EBB123317DD154E0DOFhFJ" TargetMode="External"/><Relationship Id="rId5" Type="http://schemas.openxmlformats.org/officeDocument/2006/relationships/hyperlink" Target="consultantplus://offline/ref=7ADBFA94B6B28E541DE1B7C08B58C6BCC6B0D2042F3B5B9B6656D8A53B6ADC7171258DBA04FEE30B3BEE013216DD174F11FF25A7O3h7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Объедков</dc:creator>
  <cp:keywords/>
  <dc:description/>
  <cp:lastModifiedBy>Никита Объедков</cp:lastModifiedBy>
  <cp:revision>1</cp:revision>
  <dcterms:created xsi:type="dcterms:W3CDTF">2022-01-10T09:33:00Z</dcterms:created>
  <dcterms:modified xsi:type="dcterms:W3CDTF">2022-01-10T09:34:00Z</dcterms:modified>
</cp:coreProperties>
</file>