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9B0734" w:rsidRPr="009B0734" w:rsidRDefault="009B0734" w:rsidP="009B0734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9756676" r:id="rId10"/>
        </w:object>
      </w:r>
    </w:p>
    <w:p w:rsidR="009B0734" w:rsidRPr="009B0734" w:rsidRDefault="009B0734" w:rsidP="009B073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9B0734">
        <w:rPr>
          <w:rFonts w:ascii="Times New Roman" w:hAnsi="Times New Roman"/>
          <w:b/>
          <w:sz w:val="32"/>
        </w:rPr>
        <w:t xml:space="preserve">АДМИНИСТРАЦИЯ </w:t>
      </w:r>
    </w:p>
    <w:p w:rsidR="009B0734" w:rsidRPr="009B0734" w:rsidRDefault="009B0734" w:rsidP="009B073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9B0734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B0734" w:rsidRPr="009B0734" w:rsidRDefault="009B0734" w:rsidP="009B073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B0734">
        <w:rPr>
          <w:rFonts w:ascii="Times New Roman" w:hAnsi="Times New Roman"/>
          <w:b/>
          <w:sz w:val="32"/>
        </w:rPr>
        <w:t>Сургутского</w:t>
      </w:r>
      <w:proofErr w:type="spellEnd"/>
      <w:r w:rsidRPr="009B0734">
        <w:rPr>
          <w:rFonts w:ascii="Times New Roman" w:hAnsi="Times New Roman"/>
          <w:b/>
          <w:sz w:val="32"/>
        </w:rPr>
        <w:t xml:space="preserve"> района</w:t>
      </w:r>
    </w:p>
    <w:p w:rsidR="009B0734" w:rsidRPr="009B0734" w:rsidRDefault="009B0734" w:rsidP="009B073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9B073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B0734" w:rsidRPr="009B0734" w:rsidRDefault="009B0734" w:rsidP="009B073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B0734" w:rsidRPr="009B0734" w:rsidRDefault="009B0734" w:rsidP="009B073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B0734">
        <w:rPr>
          <w:rFonts w:ascii="Times New Roman" w:hAnsi="Times New Roman"/>
          <w:b/>
          <w:sz w:val="32"/>
          <w:szCs w:val="32"/>
        </w:rPr>
        <w:t>ПОСТАНОВЛЕНИЕ</w:t>
      </w:r>
    </w:p>
    <w:p w:rsidR="009B0734" w:rsidRPr="009B0734" w:rsidRDefault="009B0734" w:rsidP="009B073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B0734" w:rsidRPr="009B0734" w:rsidRDefault="009B0734" w:rsidP="009B073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B0734">
        <w:rPr>
          <w:rFonts w:ascii="Times New Roman" w:hAnsi="Times New Roman"/>
          <w:sz w:val="28"/>
          <w:szCs w:val="28"/>
          <w:u w:val="single"/>
        </w:rPr>
        <w:t>«</w:t>
      </w:r>
      <w:r w:rsidR="007E12B6">
        <w:rPr>
          <w:rFonts w:ascii="Times New Roman" w:hAnsi="Times New Roman"/>
          <w:sz w:val="28"/>
          <w:szCs w:val="28"/>
          <w:u w:val="single"/>
        </w:rPr>
        <w:t>16</w:t>
      </w:r>
      <w:r w:rsidRPr="009B0734">
        <w:rPr>
          <w:rFonts w:ascii="Times New Roman" w:hAnsi="Times New Roman"/>
          <w:sz w:val="28"/>
          <w:szCs w:val="28"/>
          <w:u w:val="single"/>
        </w:rPr>
        <w:t>» февраля 2024 года</w:t>
      </w:r>
      <w:r w:rsidRPr="009B07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0734">
        <w:rPr>
          <w:rFonts w:ascii="Times New Roman" w:hAnsi="Times New Roman"/>
          <w:sz w:val="28"/>
          <w:szCs w:val="28"/>
        </w:rPr>
        <w:t xml:space="preserve">     № </w:t>
      </w:r>
      <w:r w:rsidR="007E12B6">
        <w:rPr>
          <w:rFonts w:ascii="Times New Roman" w:hAnsi="Times New Roman"/>
          <w:sz w:val="28"/>
          <w:szCs w:val="28"/>
        </w:rPr>
        <w:t>130</w:t>
      </w:r>
      <w:r w:rsidRPr="009B0734">
        <w:rPr>
          <w:rFonts w:ascii="Times New Roman" w:hAnsi="Times New Roman"/>
          <w:sz w:val="28"/>
          <w:szCs w:val="28"/>
        </w:rPr>
        <w:t xml:space="preserve">   </w:t>
      </w:r>
    </w:p>
    <w:p w:rsidR="009B0734" w:rsidRPr="009B0734" w:rsidRDefault="009B0734" w:rsidP="009B0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734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01.08.2022 № 653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В целях создания условий для сохранности и улучшения </w:t>
      </w:r>
      <w:proofErr w:type="gramStart"/>
      <w:r w:rsidRPr="009205B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 на территории муниципального образования городское поселение Лянтор, на основании </w:t>
      </w:r>
      <w:r w:rsidR="001A09D3">
        <w:rPr>
          <w:rFonts w:ascii="Times New Roman" w:hAnsi="Times New Roman"/>
          <w:sz w:val="28"/>
          <w:szCs w:val="28"/>
        </w:rPr>
        <w:t xml:space="preserve">данных сводной бюджетной росписи по состоянию на 31.12.2023, </w:t>
      </w:r>
      <w:r w:rsidRPr="009205B2">
        <w:rPr>
          <w:rFonts w:ascii="Times New Roman" w:hAnsi="Times New Roman"/>
          <w:sz w:val="28"/>
          <w:szCs w:val="28"/>
        </w:rPr>
        <w:t xml:space="preserve">решения Совета депутатов городского поселения Лянтор </w:t>
      </w:r>
      <w:r w:rsidR="00101E8E">
        <w:rPr>
          <w:rFonts w:ascii="Times New Roman" w:hAnsi="Times New Roman"/>
          <w:sz w:val="28"/>
          <w:szCs w:val="28"/>
        </w:rPr>
        <w:t>от 27.12.2023 №</w:t>
      </w:r>
      <w:r w:rsidR="00553B1C">
        <w:rPr>
          <w:rFonts w:ascii="Times New Roman" w:hAnsi="Times New Roman"/>
          <w:sz w:val="28"/>
          <w:szCs w:val="28"/>
        </w:rPr>
        <w:t xml:space="preserve"> </w:t>
      </w:r>
      <w:r w:rsidR="00101E8E">
        <w:rPr>
          <w:rFonts w:ascii="Times New Roman" w:hAnsi="Times New Roman"/>
          <w:sz w:val="28"/>
          <w:szCs w:val="28"/>
        </w:rPr>
        <w:t xml:space="preserve">27 «О </w:t>
      </w:r>
      <w:proofErr w:type="gramStart"/>
      <w:r w:rsidR="00101E8E">
        <w:rPr>
          <w:rFonts w:ascii="Times New Roman" w:hAnsi="Times New Roman"/>
          <w:sz w:val="28"/>
          <w:szCs w:val="28"/>
        </w:rPr>
        <w:t>бюджете</w:t>
      </w:r>
      <w:proofErr w:type="gramEnd"/>
      <w:r w:rsidR="00101E8E">
        <w:rPr>
          <w:rFonts w:ascii="Times New Roman" w:hAnsi="Times New Roman"/>
          <w:sz w:val="28"/>
          <w:szCs w:val="28"/>
        </w:rPr>
        <w:t xml:space="preserve"> городского поселения Лянтор на 2024 год и на плановый период 2025 и 2026 годов»</w:t>
      </w:r>
      <w:r w:rsidRPr="009205B2">
        <w:rPr>
          <w:rFonts w:ascii="Times New Roman" w:hAnsi="Times New Roman"/>
          <w:sz w:val="28"/>
          <w:szCs w:val="28"/>
        </w:rPr>
        <w:t>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01.08.2022 № 653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(в ред</w:t>
      </w:r>
      <w:r w:rsidR="00CF671B">
        <w:rPr>
          <w:rFonts w:ascii="Times New Roman" w:hAnsi="Times New Roman"/>
          <w:sz w:val="28"/>
          <w:szCs w:val="28"/>
        </w:rPr>
        <w:t>акции</w:t>
      </w:r>
      <w:r w:rsidRPr="009205B2">
        <w:rPr>
          <w:rFonts w:ascii="Times New Roman" w:hAnsi="Times New Roman"/>
          <w:sz w:val="28"/>
          <w:szCs w:val="28"/>
        </w:rPr>
        <w:t xml:space="preserve"> от </w:t>
      </w:r>
      <w:r w:rsidR="00704D37">
        <w:rPr>
          <w:rFonts w:ascii="Times New Roman" w:hAnsi="Times New Roman"/>
          <w:sz w:val="28"/>
          <w:szCs w:val="28"/>
        </w:rPr>
        <w:t>0</w:t>
      </w:r>
      <w:r w:rsidR="00553B1C">
        <w:rPr>
          <w:rFonts w:ascii="Times New Roman" w:hAnsi="Times New Roman"/>
          <w:sz w:val="28"/>
          <w:szCs w:val="28"/>
        </w:rPr>
        <w:t>9</w:t>
      </w:r>
      <w:r w:rsidRPr="009205B2">
        <w:rPr>
          <w:rFonts w:ascii="Times New Roman" w:hAnsi="Times New Roman"/>
          <w:sz w:val="28"/>
          <w:szCs w:val="28"/>
        </w:rPr>
        <w:t>.</w:t>
      </w:r>
      <w:r w:rsidR="00553B1C">
        <w:rPr>
          <w:rFonts w:ascii="Times New Roman" w:hAnsi="Times New Roman"/>
          <w:sz w:val="28"/>
          <w:szCs w:val="28"/>
        </w:rPr>
        <w:t>01</w:t>
      </w:r>
      <w:r w:rsidRPr="009205B2">
        <w:rPr>
          <w:rFonts w:ascii="Times New Roman" w:hAnsi="Times New Roman"/>
          <w:sz w:val="28"/>
          <w:szCs w:val="28"/>
        </w:rPr>
        <w:t>.202</w:t>
      </w:r>
      <w:r w:rsidR="00553B1C">
        <w:rPr>
          <w:rFonts w:ascii="Times New Roman" w:hAnsi="Times New Roman"/>
          <w:sz w:val="28"/>
          <w:szCs w:val="28"/>
        </w:rPr>
        <w:t>4</w:t>
      </w:r>
      <w:r w:rsidRPr="009205B2">
        <w:rPr>
          <w:rFonts w:ascii="Times New Roman" w:hAnsi="Times New Roman"/>
          <w:sz w:val="28"/>
          <w:szCs w:val="28"/>
        </w:rPr>
        <w:t xml:space="preserve"> №</w:t>
      </w:r>
      <w:r w:rsidR="00553B1C">
        <w:rPr>
          <w:rFonts w:ascii="Times New Roman" w:hAnsi="Times New Roman"/>
          <w:sz w:val="28"/>
          <w:szCs w:val="28"/>
        </w:rPr>
        <w:t xml:space="preserve"> 6</w:t>
      </w:r>
      <w:r w:rsidRPr="009205B2">
        <w:rPr>
          <w:rFonts w:ascii="Times New Roman" w:hAnsi="Times New Roman"/>
          <w:sz w:val="28"/>
          <w:szCs w:val="28"/>
        </w:rPr>
        <w:t>) следующие изменения: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1 к </w:t>
      </w:r>
      <w:r w:rsidR="00CF671B">
        <w:rPr>
          <w:rFonts w:ascii="Times New Roman" w:hAnsi="Times New Roman"/>
          <w:sz w:val="28"/>
          <w:szCs w:val="28"/>
        </w:rPr>
        <w:t>муниципальной программе</w:t>
      </w:r>
      <w:r w:rsidRPr="009205B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11810" w:rsidRPr="009205B2" w:rsidRDefault="009F5E19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810" w:rsidRPr="009205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1810"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1810"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411810" w:rsidRPr="009205B2" w:rsidRDefault="00411810" w:rsidP="009B07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DB6" w:rsidRDefault="00575681" w:rsidP="009B0734">
      <w:pPr>
        <w:pStyle w:val="a3"/>
        <w:rPr>
          <w:rFonts w:ascii="Times New Roman" w:hAnsi="Times New Roman"/>
          <w:sz w:val="24"/>
          <w:szCs w:val="24"/>
        </w:rPr>
      </w:pPr>
      <w:r w:rsidRPr="00825E29">
        <w:rPr>
          <w:rFonts w:ascii="Times New Roman" w:hAnsi="Times New Roman"/>
          <w:sz w:val="28"/>
          <w:szCs w:val="28"/>
        </w:rPr>
        <w:lastRenderedPageBreak/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  <w:t xml:space="preserve">  </w:t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E70C9F">
        <w:rPr>
          <w:rFonts w:ascii="Times New Roman" w:hAnsi="Times New Roman"/>
          <w:sz w:val="28"/>
          <w:szCs w:val="28"/>
        </w:rPr>
        <w:t xml:space="preserve">                    </w:t>
      </w: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1A6FE3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025A94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7E12B6">
        <w:rPr>
          <w:rFonts w:ascii="Times New Roman" w:hAnsi="Times New Roman"/>
          <w:sz w:val="24"/>
          <w:szCs w:val="24"/>
        </w:rPr>
        <w:t>16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9B0734">
        <w:rPr>
          <w:rFonts w:ascii="Times New Roman" w:hAnsi="Times New Roman"/>
          <w:sz w:val="24"/>
          <w:szCs w:val="24"/>
        </w:rPr>
        <w:t>февраля</w:t>
      </w:r>
      <w:r w:rsidR="00411810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37C08">
        <w:rPr>
          <w:rFonts w:ascii="Times New Roman" w:hAnsi="Times New Roman"/>
          <w:sz w:val="24"/>
          <w:szCs w:val="24"/>
        </w:rPr>
        <w:t>4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</w:t>
      </w:r>
      <w:r w:rsidR="007E12B6">
        <w:rPr>
          <w:rFonts w:ascii="Times New Roman" w:hAnsi="Times New Roman"/>
          <w:sz w:val="24"/>
          <w:szCs w:val="24"/>
        </w:rPr>
        <w:t>130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0D08B8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0D08B8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CD32EB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937C08" w:rsidRPr="00937C08">
              <w:rPr>
                <w:rFonts w:ascii="Times New Roman" w:hAnsi="Times New Roman"/>
                <w:sz w:val="24"/>
                <w:szCs w:val="24"/>
              </w:rPr>
              <w:t>139 126,11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937C08" w:rsidRPr="00937C08">
              <w:rPr>
                <w:rFonts w:ascii="Times New Roman" w:hAnsi="Times New Roman"/>
                <w:bCs/>
                <w:sz w:val="24"/>
                <w:szCs w:val="24"/>
              </w:rPr>
              <w:t>132 799,11</w:t>
            </w:r>
            <w:r w:rsidR="00042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937C08" w:rsidRPr="00937C08">
              <w:rPr>
                <w:rFonts w:ascii="Times New Roman" w:hAnsi="Times New Roman"/>
                <w:sz w:val="24"/>
                <w:szCs w:val="24"/>
              </w:rPr>
              <w:t>6 327,00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FA163B" w:rsidRPr="00FA163B">
              <w:rPr>
                <w:rFonts w:ascii="Times New Roman" w:hAnsi="Times New Roman"/>
                <w:sz w:val="24"/>
                <w:szCs w:val="24"/>
              </w:rPr>
              <w:t>56 650,30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FA163B" w:rsidRPr="00FA163B">
              <w:rPr>
                <w:rFonts w:ascii="Times New Roman" w:hAnsi="Times New Roman"/>
                <w:sz w:val="24"/>
                <w:szCs w:val="24"/>
              </w:rPr>
              <w:t>31 107,07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F800F3" w:rsidRPr="00F800F3">
              <w:rPr>
                <w:rFonts w:ascii="Times New Roman" w:hAnsi="Times New Roman"/>
                <w:sz w:val="24"/>
                <w:szCs w:val="24"/>
              </w:rPr>
              <w:t>25 684,37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- 2026 год – </w:t>
            </w:r>
            <w:r w:rsidR="00F800F3" w:rsidRPr="00F800F3">
              <w:rPr>
                <w:rFonts w:ascii="Times New Roman" w:hAnsi="Times New Roman"/>
                <w:sz w:val="24"/>
                <w:szCs w:val="24"/>
              </w:rPr>
              <w:t>25 684,37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C67661" w:rsidP="00C6766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 xml:space="preserve">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lastRenderedPageBreak/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>Муниципальная программа городского поселения Лянтор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F510FF">
        <w:rPr>
          <w:rFonts w:ascii="Times New Roman" w:hAnsi="Times New Roman"/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Показателями конечного результата </w:t>
      </w:r>
      <w:r w:rsidR="00C67661" w:rsidRPr="00C67661">
        <w:rPr>
          <w:rFonts w:ascii="Times New Roman" w:hAnsi="Times New Roman"/>
          <w:sz w:val="28"/>
          <w:szCs w:val="28"/>
        </w:rPr>
        <w:t>цели (целей) муниципальной программы</w:t>
      </w:r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C67661">
        <w:trPr>
          <w:trHeight w:val="1404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отремонтированных дорог от общей площади дорог</w:t>
            </w:r>
            <w:r w:rsidR="00584265">
              <w:rPr>
                <w:rFonts w:ascii="Times New Roman" w:hAnsi="Times New Roman"/>
                <w:sz w:val="24"/>
                <w:szCs w:val="24"/>
              </w:rPr>
              <w:t>,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 xml:space="preserve">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584265" w:rsidP="00CD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265">
        <w:rPr>
          <w:rFonts w:ascii="Times New Roman" w:hAnsi="Times New Roman"/>
          <w:sz w:val="28"/>
          <w:szCs w:val="28"/>
        </w:rPr>
        <w:t>Перечни</w:t>
      </w:r>
      <w:r w:rsidR="00F510FF" w:rsidRPr="00584265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</w:t>
      </w:r>
      <w:r w:rsidRPr="00584265">
        <w:rPr>
          <w:rFonts w:ascii="Times New Roman" w:hAnsi="Times New Roman"/>
          <w:sz w:val="28"/>
          <w:szCs w:val="28"/>
        </w:rPr>
        <w:t>ы</w:t>
      </w:r>
      <w:r w:rsidR="00F510FF" w:rsidRPr="00584265">
        <w:rPr>
          <w:rFonts w:ascii="Times New Roman" w:hAnsi="Times New Roman"/>
          <w:sz w:val="28"/>
          <w:szCs w:val="28"/>
        </w:rPr>
        <w:t xml:space="preserve"> в Приложении 1.</w:t>
      </w:r>
      <w:r w:rsidR="00F510FF"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CD32EB" w:rsidRPr="00F510FF" w:rsidRDefault="00CD32EB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2EB">
        <w:rPr>
          <w:rFonts w:ascii="Times New Roman" w:hAnsi="Times New Roman"/>
          <w:sz w:val="28"/>
          <w:szCs w:val="28"/>
        </w:rPr>
        <w:t xml:space="preserve">- выполнение работ, связанных с осуществлением регулярных перевозок пассажиров и багажа автомобильным транспортом на автобусном маршруте № </w:t>
      </w:r>
      <w:r>
        <w:rPr>
          <w:rFonts w:ascii="Times New Roman" w:hAnsi="Times New Roman"/>
          <w:sz w:val="28"/>
          <w:szCs w:val="28"/>
        </w:rPr>
        <w:t>2</w:t>
      </w:r>
      <w:r w:rsidRPr="00CD32EB">
        <w:rPr>
          <w:rFonts w:ascii="Times New Roman" w:hAnsi="Times New Roman"/>
          <w:sz w:val="28"/>
          <w:szCs w:val="28"/>
        </w:rPr>
        <w:t xml:space="preserve">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CD32EB">
        <w:trPr>
          <w:trHeight w:val="301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lastRenderedPageBreak/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CD32EB" w:rsidRPr="00F510FF" w:rsidTr="00CD32EB">
        <w:trPr>
          <w:trHeight w:val="264"/>
        </w:trPr>
        <w:tc>
          <w:tcPr>
            <w:tcW w:w="1666" w:type="pct"/>
            <w:vAlign w:val="center"/>
          </w:tcPr>
          <w:p w:rsidR="00CD32EB" w:rsidRPr="00F510FF" w:rsidRDefault="00CD32EB" w:rsidP="00CD3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32EB">
              <w:rPr>
                <w:rFonts w:ascii="Times New Roman" w:hAnsi="Times New Roman"/>
                <w:color w:val="000000"/>
              </w:rPr>
              <w:t>Количество рейсов в год по маршруту № 2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584265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584265">
            <w:pPr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58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F800F3" w:rsidRPr="00F800F3">
        <w:rPr>
          <w:rFonts w:ascii="Times New Roman" w:hAnsi="Times New Roman"/>
          <w:sz w:val="28"/>
          <w:szCs w:val="28"/>
        </w:rPr>
        <w:t>139 126,11</w:t>
      </w:r>
      <w:r w:rsidRPr="00F510F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2023 год – 56 650,30 тыс. рублей;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2024 год – 31 107,07 тыс. рублей;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2025 год – 25 684,37 тыс. рублей;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2026 год – 25 684,37 тыс. рублей;</w:t>
      </w:r>
    </w:p>
    <w:p w:rsidR="006B3081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2027 год – 0,00 тыс. рублей.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</w:t>
      </w:r>
      <w:r w:rsidRPr="00F510FF">
        <w:rPr>
          <w:rFonts w:ascii="Times New Roman" w:hAnsi="Times New Roman"/>
          <w:sz w:val="28"/>
          <w:szCs w:val="28"/>
        </w:rPr>
        <w:lastRenderedPageBreak/>
        <w:t xml:space="preserve">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</w:t>
      </w:r>
      <w:r w:rsidR="00F800F3">
        <w:rPr>
          <w:rFonts w:ascii="Times New Roman" w:hAnsi="Times New Roman"/>
          <w:sz w:val="28"/>
          <w:szCs w:val="28"/>
        </w:rPr>
        <w:t>«</w:t>
      </w:r>
      <w:r w:rsidRPr="00F510FF">
        <w:rPr>
          <w:rFonts w:ascii="Times New Roman" w:hAnsi="Times New Roman"/>
          <w:sz w:val="28"/>
          <w:szCs w:val="28"/>
        </w:rPr>
        <w:t>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A154AE" w:rsidP="00A154AE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54AE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895"/>
        <w:gridCol w:w="1952"/>
        <w:gridCol w:w="1113"/>
        <w:gridCol w:w="1641"/>
        <w:gridCol w:w="916"/>
        <w:gridCol w:w="921"/>
        <w:gridCol w:w="958"/>
        <w:gridCol w:w="1091"/>
        <w:gridCol w:w="1004"/>
        <w:gridCol w:w="1573"/>
        <w:gridCol w:w="1489"/>
      </w:tblGrid>
      <w:tr w:rsidR="00EB3687" w:rsidRPr="00EB3687" w:rsidTr="00F800F3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F3" w:rsidRPr="00F800F3" w:rsidRDefault="00F800F3" w:rsidP="00F80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0F3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EB3687" w:rsidRPr="00EB3687" w:rsidTr="00EB3687">
        <w:trPr>
          <w:trHeight w:val="78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00F3" w:rsidRPr="00F800F3" w:rsidRDefault="00F800F3" w:rsidP="00F80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3687" w:rsidRPr="00EB3687" w:rsidTr="00704D37">
        <w:trPr>
          <w:trHeight w:val="462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Параметры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Значение по годам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Координатор/ соисполнитель</w:t>
            </w:r>
          </w:p>
        </w:tc>
      </w:tr>
      <w:tr w:rsidR="00EB3687" w:rsidRPr="00EB3687" w:rsidTr="00704D37">
        <w:trPr>
          <w:trHeight w:val="46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2023             (год)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2024                       (год)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2025                  (год)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2026                        (год)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2027                     (год)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422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7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139 126,11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56 650,30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31 107,07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8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132 799,11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50 323,30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31 107,07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0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, предоставленных бюджетом </w:t>
            </w:r>
            <w:proofErr w:type="spell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Сургутского</w:t>
            </w:r>
            <w:proofErr w:type="spell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3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 За счет средств, предоставленных бюджетом ХМАО-Югры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40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сохранности и улучшения </w:t>
            </w:r>
            <w:proofErr w:type="gram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качества</w:t>
            </w:r>
            <w:proofErr w:type="gram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 xml:space="preserve">Доля дорог, находящихся в технически исправном состоянии (нарастающим </w:t>
            </w:r>
            <w:r w:rsidRPr="00F800F3">
              <w:rPr>
                <w:rFonts w:ascii="Times New Roman" w:hAnsi="Times New Roman"/>
                <w:sz w:val="20"/>
                <w:szCs w:val="20"/>
              </w:rPr>
              <w:lastRenderedPageBreak/>
              <w:t>итогом)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89,80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93,20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96,60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3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Совершенствование условий для безопасности дорожного движения на автомобильных дорогах города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 xml:space="preserve">Доля отремонтированных </w:t>
            </w:r>
            <w:r w:rsidR="00EB3687" w:rsidRPr="00F800F3">
              <w:rPr>
                <w:rFonts w:ascii="Times New Roman" w:hAnsi="Times New Roman"/>
                <w:sz w:val="20"/>
                <w:szCs w:val="20"/>
              </w:rPr>
              <w:t>дорог от</w:t>
            </w:r>
            <w:r w:rsidRPr="00F800F3">
              <w:rPr>
                <w:rFonts w:ascii="Times New Roman" w:hAnsi="Times New Roman"/>
                <w:sz w:val="20"/>
                <w:szCs w:val="20"/>
              </w:rPr>
              <w:t xml:space="preserve"> общей площади дорог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46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"Ремонт автодорог"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12 724,94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6 900,03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5 824,91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49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6 397,94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573,03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5 824,91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9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, предоставленных бюджетом </w:t>
            </w:r>
            <w:proofErr w:type="spell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Сургутского</w:t>
            </w:r>
            <w:proofErr w:type="spell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0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 За счет средств, предоставленных бюджетом ХМАО-Югры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7 017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дорог, в отношении которых проведен ремонт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45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"Обустройство автомобильных дорог"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7 088,39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2 748,78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4 339,61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57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7 088,39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2 748,78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4 339,61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3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, предоставленных бюджетом </w:t>
            </w:r>
            <w:proofErr w:type="spell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Сургутского</w:t>
            </w:r>
            <w:proofErr w:type="spell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29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4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комплексных схем </w:t>
            </w:r>
            <w:proofErr w:type="spellStart"/>
            <w:r w:rsidRPr="00F800F3">
              <w:rPr>
                <w:rFonts w:ascii="Times New Roman" w:hAnsi="Times New Roman"/>
                <w:sz w:val="20"/>
                <w:szCs w:val="20"/>
              </w:rPr>
              <w:t>организациии</w:t>
            </w:r>
            <w:proofErr w:type="spellEnd"/>
            <w:r w:rsidRPr="00F800F3">
              <w:rPr>
                <w:rFonts w:ascii="Times New Roman" w:hAnsi="Times New Roman"/>
                <w:sz w:val="20"/>
                <w:szCs w:val="20"/>
              </w:rPr>
              <w:t xml:space="preserve"> дорожного движения (в год)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обустроенных тротуаров (в год)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3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94 024,22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44 118,76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13 473,94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18 215,76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18 215,76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10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534 929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8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обслуживаемых светофоров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58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Нанесение дорожной разметки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6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42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      </w:r>
          </w:p>
        </w:tc>
      </w:tr>
      <w:tr w:rsidR="00EB3687" w:rsidRPr="00EB3687" w:rsidTr="00704D37">
        <w:trPr>
          <w:trHeight w:val="12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транспортными услугами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EB3687" w:rsidRPr="00EB3687" w:rsidTr="00704D37">
        <w:trPr>
          <w:trHeight w:val="22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11 882,64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2 882,73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2 999,97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2 999,97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2 999,97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7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рейсов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22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2 города Лянтор"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0A3CDA" w:rsidP="000A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13 405</w:t>
            </w:r>
            <w:r w:rsidR="00F800F3" w:rsidRPr="00F800F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4 468,64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4 468,64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4 468,64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8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рейсов в год Количество рейсов в год по маршруту № 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704D37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704D37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214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114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4AE" w:rsidRPr="00EB3687" w:rsidRDefault="00A154AE" w:rsidP="00EB36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687" w:rsidRDefault="00EB3687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</w:p>
    <w:p w:rsidR="00591979" w:rsidRPr="00591979" w:rsidRDefault="00591979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  <w:r w:rsidRPr="00591979">
        <w:rPr>
          <w:rFonts w:ascii="Times New Roman" w:hAnsi="Times New Roman"/>
          <w:sz w:val="20"/>
          <w:szCs w:val="20"/>
        </w:rPr>
        <w:t>Приложение 2 к муниципальной программе</w:t>
      </w:r>
    </w:p>
    <w:p w:rsidR="00591979" w:rsidRDefault="00591979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EB3687" w:rsidRPr="00F510FF" w:rsidRDefault="00EB3687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91979" w:rsidRPr="00F800F3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800F3">
        <w:rPr>
          <w:rFonts w:ascii="Times New Roman" w:hAnsi="Times New Roman"/>
          <w:bCs/>
          <w:iCs/>
          <w:sz w:val="28"/>
          <w:szCs w:val="28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4"/>
        <w:gridCol w:w="1731"/>
        <w:gridCol w:w="1453"/>
        <w:gridCol w:w="926"/>
        <w:gridCol w:w="1291"/>
        <w:gridCol w:w="1833"/>
        <w:gridCol w:w="848"/>
        <w:gridCol w:w="770"/>
        <w:gridCol w:w="761"/>
        <w:gridCol w:w="701"/>
        <w:gridCol w:w="626"/>
        <w:gridCol w:w="626"/>
        <w:gridCol w:w="623"/>
        <w:gridCol w:w="626"/>
      </w:tblGrid>
      <w:tr w:rsidR="00591979" w:rsidRPr="00F800F3" w:rsidTr="00591979">
        <w:tc>
          <w:tcPr>
            <w:tcW w:w="180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N </w:t>
            </w:r>
            <w:proofErr w:type="gramStart"/>
            <w:r w:rsidRPr="00F800F3">
              <w:rPr>
                <w:rFonts w:ascii="Times New Roman" w:hAnsi="Times New Roman"/>
              </w:rPr>
              <w:t>п</w:t>
            </w:r>
            <w:proofErr w:type="gramEnd"/>
            <w:r w:rsidRPr="00F800F3">
              <w:rPr>
                <w:rFonts w:ascii="Times New Roman" w:hAnsi="Times New Roman"/>
              </w:rPr>
              <w:t>/п</w:t>
            </w:r>
          </w:p>
        </w:tc>
        <w:tc>
          <w:tcPr>
            <w:tcW w:w="542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578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Наименование мероприятия проекта</w:t>
            </w:r>
          </w:p>
        </w:tc>
        <w:tc>
          <w:tcPr>
            <w:tcW w:w="485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Номер основного мероприятия из программ</w:t>
            </w:r>
          </w:p>
        </w:tc>
        <w:tc>
          <w:tcPr>
            <w:tcW w:w="309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Цели проекта</w:t>
            </w:r>
          </w:p>
        </w:tc>
        <w:tc>
          <w:tcPr>
            <w:tcW w:w="431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12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62" w:type="pct"/>
            <w:gridSpan w:val="8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591979" w:rsidRPr="00F800F3" w:rsidTr="00591979">
        <w:tc>
          <w:tcPr>
            <w:tcW w:w="180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2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8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5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9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12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всего</w:t>
            </w:r>
          </w:p>
        </w:tc>
        <w:tc>
          <w:tcPr>
            <w:tcW w:w="257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25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23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2026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2027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2028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2029</w:t>
            </w:r>
          </w:p>
        </w:tc>
      </w:tr>
      <w:tr w:rsidR="00591979" w:rsidRPr="00F800F3" w:rsidTr="00591979">
        <w:trPr>
          <w:trHeight w:val="177"/>
        </w:trPr>
        <w:tc>
          <w:tcPr>
            <w:tcW w:w="180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42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3</w:t>
            </w:r>
          </w:p>
        </w:tc>
        <w:tc>
          <w:tcPr>
            <w:tcW w:w="485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4</w:t>
            </w:r>
          </w:p>
        </w:tc>
        <w:tc>
          <w:tcPr>
            <w:tcW w:w="3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5</w:t>
            </w:r>
          </w:p>
        </w:tc>
        <w:tc>
          <w:tcPr>
            <w:tcW w:w="431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6</w:t>
            </w:r>
          </w:p>
        </w:tc>
        <w:tc>
          <w:tcPr>
            <w:tcW w:w="612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7</w:t>
            </w:r>
          </w:p>
        </w:tc>
        <w:tc>
          <w:tcPr>
            <w:tcW w:w="283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8</w:t>
            </w:r>
          </w:p>
        </w:tc>
        <w:tc>
          <w:tcPr>
            <w:tcW w:w="257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9</w:t>
            </w:r>
          </w:p>
        </w:tc>
        <w:tc>
          <w:tcPr>
            <w:tcW w:w="25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10</w:t>
            </w:r>
          </w:p>
        </w:tc>
        <w:tc>
          <w:tcPr>
            <w:tcW w:w="23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11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12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13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14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15</w:t>
            </w:r>
          </w:p>
        </w:tc>
      </w:tr>
      <w:tr w:rsidR="00591979" w:rsidRPr="00F800F3" w:rsidTr="00591979">
        <w:trPr>
          <w:trHeight w:val="442"/>
        </w:trPr>
        <w:tc>
          <w:tcPr>
            <w:tcW w:w="5000" w:type="pct"/>
            <w:gridSpan w:val="15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591979" w:rsidRPr="00F800F3" w:rsidTr="00591979">
        <w:trPr>
          <w:trHeight w:val="1188"/>
        </w:trPr>
        <w:tc>
          <w:tcPr>
            <w:tcW w:w="5000" w:type="pct"/>
            <w:gridSpan w:val="15"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hAnsi="Times New Roman"/>
              </w:rPr>
            </w:pPr>
            <w:r w:rsidRPr="00F800F3">
              <w:rPr>
                <w:rFonts w:ascii="Times New Roman" w:eastAsia="Calibri" w:hAnsi="Times New Roman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800F3">
              <w:rPr>
                <w:rFonts w:ascii="Times New Roman" w:eastAsia="Calibri" w:hAnsi="Times New Roman"/>
                <w:lang w:eastAsia="en-US"/>
              </w:rPr>
              <w:t>направленным</w:t>
            </w:r>
            <w:proofErr w:type="gramEnd"/>
            <w:r w:rsidRPr="00F800F3">
              <w:rPr>
                <w:rFonts w:ascii="Times New Roman" w:eastAsia="Calibri" w:hAnsi="Times New Roman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91979" w:rsidRPr="00B928AB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591979" w:rsidRPr="00B928AB" w:rsidSect="00F510FF">
      <w:headerReference w:type="even" r:id="rId11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DF" w:rsidRDefault="00B206DF">
      <w:pPr>
        <w:spacing w:after="0" w:line="240" w:lineRule="auto"/>
      </w:pPr>
      <w:r>
        <w:separator/>
      </w:r>
    </w:p>
  </w:endnote>
  <w:endnote w:type="continuationSeparator" w:id="0">
    <w:p w:rsidR="00B206DF" w:rsidRDefault="00B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DF" w:rsidRDefault="00B206DF">
      <w:pPr>
        <w:spacing w:after="0" w:line="240" w:lineRule="auto"/>
      </w:pPr>
      <w:r>
        <w:separator/>
      </w:r>
    </w:p>
  </w:footnote>
  <w:footnote w:type="continuationSeparator" w:id="0">
    <w:p w:rsidR="00B206DF" w:rsidRDefault="00B2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DA" w:rsidRDefault="000A3CDA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3CDA" w:rsidRDefault="000A3C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993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3CDA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1E8E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4BF0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9D3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59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3C2D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1D2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3B1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6DB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4D37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22E7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2B6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37C08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C4"/>
    <w:rsid w:val="009A58F6"/>
    <w:rsid w:val="009A6229"/>
    <w:rsid w:val="009A62E6"/>
    <w:rsid w:val="009A6FC9"/>
    <w:rsid w:val="009A75C0"/>
    <w:rsid w:val="009A7B2F"/>
    <w:rsid w:val="009B0734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951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5E19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6DF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0F9F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687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8FB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4CD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00F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63B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2BA3-49C7-449E-9494-EEF0F7D0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16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155</cp:revision>
  <cp:lastPrinted>2024-02-14T02:57:00Z</cp:lastPrinted>
  <dcterms:created xsi:type="dcterms:W3CDTF">2022-09-12T10:48:00Z</dcterms:created>
  <dcterms:modified xsi:type="dcterms:W3CDTF">2024-02-18T05:18:00Z</dcterms:modified>
</cp:coreProperties>
</file>