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5983" w:rsidRDefault="00505983" w:rsidP="00505983">
      <w:pPr>
        <w:jc w:val="center"/>
      </w:pPr>
      <w:r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4611970" r:id="rId9"/>
        </w:object>
      </w:r>
    </w:p>
    <w:p w:rsidR="00505983" w:rsidRDefault="00505983" w:rsidP="00505983">
      <w:pPr>
        <w:jc w:val="center"/>
        <w:rPr>
          <w:b/>
          <w:sz w:val="14"/>
          <w:szCs w:val="14"/>
        </w:rPr>
      </w:pPr>
    </w:p>
    <w:p w:rsidR="00505983" w:rsidRPr="00CC7C19" w:rsidRDefault="00505983" w:rsidP="00505983">
      <w:pPr>
        <w:jc w:val="center"/>
        <w:rPr>
          <w:b/>
          <w:sz w:val="32"/>
          <w:szCs w:val="22"/>
          <w:lang w:val="ru-RU"/>
        </w:rPr>
      </w:pPr>
      <w:r w:rsidRPr="00CC7C19">
        <w:rPr>
          <w:b/>
          <w:sz w:val="32"/>
          <w:lang w:val="ru-RU"/>
        </w:rPr>
        <w:t xml:space="preserve">АДМИНИСТРАЦИЯ </w:t>
      </w:r>
    </w:p>
    <w:p w:rsidR="00505983" w:rsidRPr="00CC7C19" w:rsidRDefault="00505983" w:rsidP="00505983">
      <w:pPr>
        <w:jc w:val="center"/>
        <w:rPr>
          <w:b/>
          <w:sz w:val="32"/>
          <w:lang w:val="ru-RU"/>
        </w:rPr>
      </w:pPr>
      <w:r w:rsidRPr="00CC7C19">
        <w:rPr>
          <w:b/>
          <w:sz w:val="32"/>
          <w:lang w:val="ru-RU"/>
        </w:rPr>
        <w:t xml:space="preserve"> ГОРОДСКОГО ПОСЕЛЕНИЯ ЛЯНТОР</w:t>
      </w:r>
    </w:p>
    <w:p w:rsidR="00505983" w:rsidRPr="00CC7C19" w:rsidRDefault="00505983" w:rsidP="00505983">
      <w:pPr>
        <w:jc w:val="center"/>
        <w:rPr>
          <w:b/>
          <w:sz w:val="32"/>
          <w:szCs w:val="24"/>
          <w:lang w:val="ru-RU"/>
        </w:rPr>
      </w:pPr>
      <w:r w:rsidRPr="00CC7C19">
        <w:rPr>
          <w:b/>
          <w:sz w:val="32"/>
          <w:lang w:val="ru-RU"/>
        </w:rPr>
        <w:t>Сургутского района</w:t>
      </w:r>
    </w:p>
    <w:p w:rsidR="00505983" w:rsidRPr="00CC7C19" w:rsidRDefault="00505983" w:rsidP="00505983">
      <w:pPr>
        <w:jc w:val="center"/>
        <w:rPr>
          <w:b/>
          <w:sz w:val="32"/>
          <w:lang w:val="ru-RU"/>
        </w:rPr>
      </w:pPr>
      <w:r w:rsidRPr="00CC7C19">
        <w:rPr>
          <w:b/>
          <w:sz w:val="32"/>
          <w:lang w:val="ru-RU"/>
        </w:rPr>
        <w:t>Ханты-Мансийского автономного округа-Югры</w:t>
      </w:r>
    </w:p>
    <w:p w:rsidR="00505983" w:rsidRPr="00CC7C19" w:rsidRDefault="00505983" w:rsidP="00505983">
      <w:pPr>
        <w:jc w:val="center"/>
        <w:rPr>
          <w:b/>
          <w:sz w:val="32"/>
          <w:lang w:val="ru-RU"/>
        </w:rPr>
      </w:pPr>
    </w:p>
    <w:p w:rsidR="00505983" w:rsidRPr="00CC7C19" w:rsidRDefault="00505983" w:rsidP="00505983">
      <w:pPr>
        <w:jc w:val="center"/>
        <w:rPr>
          <w:sz w:val="22"/>
          <w:lang w:val="ru-RU"/>
        </w:rPr>
      </w:pPr>
      <w:r w:rsidRPr="00CC7C19">
        <w:rPr>
          <w:b/>
          <w:sz w:val="32"/>
          <w:szCs w:val="32"/>
          <w:lang w:val="ru-RU"/>
        </w:rPr>
        <w:t>ПОСТАНОВЛЕНИЕ</w:t>
      </w:r>
    </w:p>
    <w:p w:rsidR="00505983" w:rsidRPr="00CC7C19" w:rsidRDefault="00505983" w:rsidP="00505983">
      <w:pPr>
        <w:rPr>
          <w:lang w:val="ru-RU"/>
        </w:rPr>
      </w:pPr>
    </w:p>
    <w:p w:rsidR="00505983" w:rsidRDefault="00505983" w:rsidP="0050598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905F2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№   </w:t>
      </w:r>
      <w:r w:rsidR="003905F2">
        <w:rPr>
          <w:sz w:val="28"/>
          <w:szCs w:val="28"/>
          <w:lang w:val="ru-RU"/>
        </w:rPr>
        <w:t>1242</w:t>
      </w:r>
      <w:r>
        <w:rPr>
          <w:sz w:val="28"/>
          <w:szCs w:val="28"/>
        </w:rPr>
        <w:t xml:space="preserve">                             </w:t>
      </w:r>
    </w:p>
    <w:p w:rsidR="00505983" w:rsidRDefault="00505983" w:rsidP="0050598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84029D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 xml:space="preserve">б утверждении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>требований к закупаемым органами местного самоуправления муниципального образования городское поселение Лянтор</w:t>
            </w:r>
            <w:r w:rsidR="0084029D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подведомственными муниципальными учреждениями </w:t>
            </w:r>
            <w:r w:rsidR="0084029D">
              <w:rPr>
                <w:rFonts w:eastAsia="Calibri"/>
                <w:sz w:val="28"/>
                <w:szCs w:val="28"/>
                <w:lang w:val="ru-RU"/>
              </w:rPr>
              <w:t xml:space="preserve">и унитарными предприятиями 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F17E1F">
        <w:rPr>
          <w:rFonts w:ascii="Times New Roman" w:hAnsi="Times New Roman" w:cs="Times New Roman"/>
          <w:sz w:val="28"/>
          <w:szCs w:val="28"/>
        </w:rPr>
        <w:t>ью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365B93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</w:t>
      </w:r>
      <w:r w:rsidR="000666DC">
        <w:rPr>
          <w:rFonts w:ascii="Times New Roman" w:hAnsi="Times New Roman" w:cs="Times New Roman"/>
          <w:sz w:val="28"/>
          <w:szCs w:val="28"/>
        </w:rPr>
        <w:t>№ 44-ФЗ «</w:t>
      </w:r>
      <w:r w:rsidRPr="000835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66DC">
        <w:rPr>
          <w:rFonts w:ascii="Times New Roman" w:hAnsi="Times New Roman" w:cs="Times New Roman"/>
          <w:sz w:val="28"/>
          <w:szCs w:val="28"/>
        </w:rPr>
        <w:t>»</w:t>
      </w:r>
      <w:r w:rsidRPr="000835B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 w:rsidR="00365B9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0835BF">
        <w:rPr>
          <w:rFonts w:ascii="Times New Roman" w:hAnsi="Times New Roman" w:cs="Times New Roman"/>
          <w:sz w:val="28"/>
          <w:szCs w:val="28"/>
        </w:rPr>
        <w:t xml:space="preserve"> от </w:t>
      </w:r>
      <w:r w:rsidR="000666DC">
        <w:rPr>
          <w:rFonts w:ascii="Times New Roman" w:hAnsi="Times New Roman" w:cs="Times New Roman"/>
          <w:sz w:val="28"/>
          <w:szCs w:val="28"/>
        </w:rPr>
        <w:t>__.12.</w:t>
      </w:r>
      <w:r w:rsidRPr="000835BF">
        <w:rPr>
          <w:rFonts w:ascii="Times New Roman" w:hAnsi="Times New Roman" w:cs="Times New Roman"/>
          <w:sz w:val="28"/>
          <w:szCs w:val="28"/>
        </w:rPr>
        <w:t>201</w:t>
      </w:r>
      <w:r w:rsidR="000666DC">
        <w:rPr>
          <w:rFonts w:ascii="Times New Roman" w:hAnsi="Times New Roman" w:cs="Times New Roman"/>
          <w:sz w:val="28"/>
          <w:szCs w:val="28"/>
        </w:rPr>
        <w:t>6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0666DC">
        <w:rPr>
          <w:rFonts w:ascii="Times New Roman" w:hAnsi="Times New Roman" w:cs="Times New Roman"/>
          <w:sz w:val="28"/>
          <w:szCs w:val="28"/>
        </w:rPr>
        <w:t>№__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0666DC">
        <w:rPr>
          <w:rFonts w:ascii="Times New Roman" w:hAnsi="Times New Roman" w:cs="Times New Roman"/>
          <w:sz w:val="28"/>
          <w:szCs w:val="28"/>
        </w:rPr>
        <w:t xml:space="preserve"> «</w:t>
      </w:r>
      <w:r w:rsidR="00365B93" w:rsidRPr="00365B93">
        <w:t xml:space="preserve"> </w:t>
      </w:r>
      <w:r w:rsidR="00365B93" w:rsidRPr="00365B93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</w:t>
      </w:r>
      <w:r w:rsidR="00365B93">
        <w:rPr>
          <w:rFonts w:ascii="Times New Roman" w:hAnsi="Times New Roman" w:cs="Times New Roman"/>
          <w:sz w:val="28"/>
          <w:szCs w:val="28"/>
        </w:rPr>
        <w:t>ен товаров, работ, услуг)</w:t>
      </w:r>
      <w:r w:rsidR="000666DC">
        <w:rPr>
          <w:rFonts w:ascii="Times New Roman" w:hAnsi="Times New Roman" w:cs="Times New Roman"/>
          <w:sz w:val="28"/>
          <w:szCs w:val="28"/>
        </w:rPr>
        <w:t>»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0666D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365B93" w:rsidRDefault="00365B93" w:rsidP="000666DC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</w:t>
      </w:r>
      <w:r w:rsidR="00DC52C4" w:rsidRPr="00365B9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65B93">
        <w:rPr>
          <w:rFonts w:ascii="Times New Roman" w:hAnsi="Times New Roman" w:cs="Times New Roman"/>
          <w:sz w:val="28"/>
          <w:szCs w:val="28"/>
        </w:rPr>
        <w:t xml:space="preserve">1 </w:t>
      </w:r>
      <w:r w:rsidR="00DC52C4" w:rsidRPr="00365B9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65B93" w:rsidRPr="000666DC" w:rsidRDefault="00365B93" w:rsidP="000666DC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Pr="00365B93">
        <w:rPr>
          <w:sz w:val="28"/>
          <w:szCs w:val="28"/>
        </w:rPr>
        <w:t xml:space="preserve"> </w:t>
      </w:r>
      <w:r w:rsidRPr="00365B9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r w:rsidRPr="00365B93">
        <w:rPr>
          <w:sz w:val="28"/>
          <w:szCs w:val="28"/>
        </w:rPr>
        <w:t>.</w:t>
      </w:r>
    </w:p>
    <w:p w:rsidR="000666DC" w:rsidRDefault="000666DC" w:rsidP="000666DC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Pr="00F61C78">
        <w:rPr>
          <w:rFonts w:ascii="Times New Roman" w:hAnsi="Times New Roman" w:cs="Times New Roman"/>
          <w:sz w:val="28"/>
          <w:szCs w:val="28"/>
        </w:rPr>
        <w:t>городско</w:t>
      </w:r>
      <w:r w:rsidR="00F17E1F">
        <w:rPr>
          <w:rFonts w:ascii="Times New Roman" w:hAnsi="Times New Roman" w:cs="Times New Roman"/>
          <w:sz w:val="28"/>
          <w:szCs w:val="28"/>
        </w:rPr>
        <w:t>го</w:t>
      </w:r>
      <w:r w:rsidRPr="00F61C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7E1F">
        <w:rPr>
          <w:rFonts w:ascii="Times New Roman" w:hAnsi="Times New Roman" w:cs="Times New Roman"/>
          <w:sz w:val="28"/>
          <w:szCs w:val="28"/>
        </w:rPr>
        <w:t>я</w:t>
      </w:r>
      <w:r w:rsidRPr="00F61C78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от 30.12.2015 №</w:t>
      </w:r>
      <w:r w:rsidR="00F1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1197 «</w:t>
      </w:r>
      <w:r w:rsidRPr="00F61C78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1C78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66DC" w:rsidRPr="00C56883" w:rsidRDefault="000666DC" w:rsidP="000666DC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C56883">
        <w:rPr>
          <w:color w:val="000000"/>
          <w:sz w:val="28"/>
          <w:szCs w:val="28"/>
          <w:lang w:val="ru-RU"/>
        </w:rPr>
        <w:lastRenderedPageBreak/>
        <w:t xml:space="preserve">Разместить </w:t>
      </w:r>
      <w:r w:rsidRPr="00C56883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</w:t>
      </w:r>
      <w:r w:rsidRPr="00C56883">
        <w:rPr>
          <w:sz w:val="28"/>
          <w:szCs w:val="28"/>
          <w:lang w:val="ru-RU"/>
        </w:rPr>
        <w:t xml:space="preserve">ение в единой информационной системе и 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C56883">
        <w:rPr>
          <w:sz w:val="28"/>
          <w:szCs w:val="28"/>
          <w:lang w:val="ru-RU"/>
        </w:rPr>
        <w:t>.</w:t>
      </w:r>
    </w:p>
    <w:p w:rsidR="00254634" w:rsidRPr="000835BF" w:rsidRDefault="00254634" w:rsidP="000666DC">
      <w:pPr>
        <w:pStyle w:val="af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121773" w:rsidRDefault="00121773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С.А.Махиня</w:t>
      </w: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0666DC">
          <w:pgSz w:w="11906" w:h="16838"/>
          <w:pgMar w:top="709" w:right="707" w:bottom="1134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3706" w:type="dxa"/>
        <w:tblLook w:val="04A0" w:firstRow="1" w:lastRow="0" w:firstColumn="1" w:lastColumn="0" w:noHBand="0" w:noVBand="1"/>
      </w:tblPr>
      <w:tblGrid>
        <w:gridCol w:w="3706"/>
      </w:tblGrid>
      <w:tr w:rsidR="00D437A0" w:rsidRPr="00897536" w:rsidTr="00365B93">
        <w:trPr>
          <w:trHeight w:val="80"/>
        </w:trPr>
        <w:tc>
          <w:tcPr>
            <w:tcW w:w="3706" w:type="dxa"/>
          </w:tcPr>
          <w:p w:rsidR="00D437A0" w:rsidRDefault="00D437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</w:t>
            </w:r>
            <w:r w:rsidR="00365B93">
              <w:rPr>
                <w:sz w:val="24"/>
                <w:szCs w:val="24"/>
                <w:lang w:val="ru-RU" w:eastAsia="en-US"/>
              </w:rPr>
              <w:t>постановлению</w:t>
            </w:r>
          </w:p>
          <w:p w:rsidR="00365B93" w:rsidRDefault="00365B93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365B93" w:rsidRDefault="00F869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8641AE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</w:t>
            </w:r>
            <w:r w:rsidR="003905F2">
              <w:rPr>
                <w:sz w:val="24"/>
                <w:szCs w:val="24"/>
                <w:lang w:val="ru-RU" w:eastAsia="en-US"/>
              </w:rPr>
              <w:t>29</w:t>
            </w:r>
            <w:r>
              <w:rPr>
                <w:sz w:val="24"/>
                <w:szCs w:val="24"/>
                <w:lang w:val="ru-RU" w:eastAsia="en-US"/>
              </w:rPr>
              <w:t>»декабря 201</w:t>
            </w:r>
            <w:r w:rsidR="000666DC">
              <w:rPr>
                <w:sz w:val="24"/>
                <w:szCs w:val="24"/>
                <w:lang w:val="ru-RU"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8641AE">
              <w:rPr>
                <w:sz w:val="24"/>
                <w:szCs w:val="24"/>
                <w:lang w:val="ru-RU" w:eastAsia="en-US"/>
              </w:rPr>
              <w:t>года №</w:t>
            </w:r>
            <w:r w:rsidR="003905F2">
              <w:rPr>
                <w:sz w:val="24"/>
                <w:szCs w:val="24"/>
                <w:lang w:val="ru-RU" w:eastAsia="en-US"/>
              </w:rPr>
              <w:t xml:space="preserve"> 1242</w:t>
            </w:r>
          </w:p>
          <w:p w:rsidR="008641AE" w:rsidRPr="00897536" w:rsidRDefault="008641AE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416493" w:rsidRPr="00416493" w:rsidRDefault="00416493" w:rsidP="004164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16493">
        <w:rPr>
          <w:sz w:val="28"/>
          <w:szCs w:val="28"/>
          <w:lang w:val="ru-RU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416493" w:rsidRPr="00416493" w:rsidRDefault="00416493" w:rsidP="0041649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16493">
        <w:rPr>
          <w:sz w:val="28"/>
          <w:szCs w:val="28"/>
          <w:lang w:val="ru-RU"/>
        </w:rPr>
        <w:t>(в том числе качеству) и иным характеристикам (в том числе предельные цены товаров, работ, услуг)</w:t>
      </w:r>
    </w:p>
    <w:p w:rsidR="00842AB5" w:rsidRPr="00842AB5" w:rsidRDefault="00842AB5" w:rsidP="00416493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8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54"/>
        <w:gridCol w:w="1841"/>
        <w:gridCol w:w="1844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416493" w:rsidRPr="00A44EF8" w:rsidTr="00305B62">
        <w:tc>
          <w:tcPr>
            <w:tcW w:w="423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0" w:history="1">
              <w:r w:rsidRPr="00A44EF8">
                <w:rPr>
                  <w:rStyle w:val="ad"/>
                  <w:rFonts w:eastAsia="Calibri"/>
                  <w:sz w:val="18"/>
                  <w:szCs w:val="18"/>
                  <w:lang w:val="ru-RU" w:eastAsia="en-US"/>
                </w:rPr>
                <w:t xml:space="preserve">ОКПД2 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68" w:type="dxa"/>
            <w:gridSpan w:val="9"/>
            <w:vAlign w:val="center"/>
          </w:tcPr>
          <w:p w:rsidR="00416493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Требования к потребительским свойствам (в том числе качеству) и иным характеристикам (в том числе предельные цены)  отдельных видов товаров, работ, услуг</w:t>
            </w:r>
          </w:p>
        </w:tc>
      </w:tr>
      <w:tr w:rsidR="00416493" w:rsidRPr="00A44EF8" w:rsidTr="00305B62">
        <w:tc>
          <w:tcPr>
            <w:tcW w:w="423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416493" w:rsidRPr="00A44EF8" w:rsidTr="00305B62">
        <w:tc>
          <w:tcPr>
            <w:tcW w:w="423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1" w:history="1">
              <w:r w:rsidRPr="00A44EF8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416493" w:rsidRPr="00A44EF8" w:rsidRDefault="00416493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416493" w:rsidRPr="00A44EF8" w:rsidRDefault="00C54E36" w:rsidP="00C54E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казенные, бюджетные учреждения  и унитарные предприятия</w:t>
            </w:r>
          </w:p>
        </w:tc>
      </w:tr>
      <w:tr w:rsidR="00C54E36" w:rsidRPr="00A44EF8" w:rsidTr="00305B62">
        <w:trPr>
          <w:trHeight w:val="335"/>
        </w:trPr>
        <w:tc>
          <w:tcPr>
            <w:tcW w:w="15886" w:type="dxa"/>
            <w:gridSpan w:val="12"/>
            <w:vAlign w:val="center"/>
          </w:tcPr>
          <w:p w:rsidR="00C54E36" w:rsidRPr="00A44EF8" w:rsidRDefault="00C54E36" w:rsidP="00C54E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отдельные виды товаров (работ, услуг), значения свойств (характеристики) которых устанавливаются с учетом групп должностей</w:t>
            </w:r>
          </w:p>
        </w:tc>
      </w:tr>
      <w:tr w:rsidR="00C54E36" w:rsidRPr="00A44EF8" w:rsidTr="00305B62">
        <w:trPr>
          <w:trHeight w:val="2867"/>
        </w:trPr>
        <w:tc>
          <w:tcPr>
            <w:tcW w:w="423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C54E36" w:rsidRPr="00A44EF8" w:rsidRDefault="00C54E36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C54E36" w:rsidRPr="00A44EF8" w:rsidTr="00305B62">
        <w:trPr>
          <w:trHeight w:val="178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26.20.11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Компьютеры портативные массой не более 10 кг такие, как ноутбуки, планшетные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8" w:type="dxa"/>
            <w:gridSpan w:val="9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A146A8" w:rsidRPr="00A44EF8" w:rsidTr="00305B62">
        <w:trPr>
          <w:trHeight w:val="323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</w:tr>
      <w:tr w:rsidR="00C54E36" w:rsidRPr="00A44EF8" w:rsidTr="00305B62">
        <w:trPr>
          <w:trHeight w:val="217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C54E36" w:rsidRPr="00A44EF8" w:rsidTr="00305B62">
        <w:trPr>
          <w:trHeight w:val="23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C54E36" w:rsidRPr="00A44EF8" w:rsidTr="00305B62">
        <w:trPr>
          <w:trHeight w:val="20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C54E36" w:rsidRPr="00A44EF8" w:rsidTr="00305B62">
        <w:trPr>
          <w:trHeight w:val="19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C54E36" w:rsidRPr="00A44EF8" w:rsidTr="00305B62">
        <w:trPr>
          <w:trHeight w:val="378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817EE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3G (UMTS)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C54E36" w:rsidRPr="00A44EF8" w:rsidTr="00305B62">
        <w:trPr>
          <w:trHeight w:val="30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C54E36" w:rsidRPr="00A44EF8" w:rsidTr="00305B62">
        <w:trPr>
          <w:trHeight w:val="39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A146A8" w:rsidRPr="00A44EF8" w:rsidTr="00305B62">
        <w:trPr>
          <w:trHeight w:val="21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146A8" w:rsidRPr="00A44EF8" w:rsidRDefault="00A146A8" w:rsidP="00A146A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146A8" w:rsidRPr="00A44EF8" w:rsidRDefault="00A146A8" w:rsidP="00A146A8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146A8" w:rsidRPr="00A44EF8" w:rsidTr="00305B62">
        <w:trPr>
          <w:trHeight w:val="21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A44EF8">
              <w:rPr>
                <w:sz w:val="18"/>
                <w:szCs w:val="18"/>
              </w:rPr>
              <w:t>Wi</w:t>
            </w:r>
            <w:r w:rsidRPr="00A44EF8">
              <w:rPr>
                <w:sz w:val="18"/>
                <w:szCs w:val="18"/>
                <w:lang w:val="ru-RU"/>
              </w:rPr>
              <w:t>-</w:t>
            </w:r>
            <w:r w:rsidRPr="00A44EF8">
              <w:rPr>
                <w:sz w:val="18"/>
                <w:szCs w:val="18"/>
              </w:rPr>
              <w:t>Fi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  <w:r w:rsidRPr="00A44EF8">
              <w:rPr>
                <w:sz w:val="18"/>
                <w:szCs w:val="18"/>
              </w:rPr>
              <w:t>Bluetooth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D867F6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поддержк</w:t>
            </w:r>
            <w:r w:rsidRPr="00A44EF8">
              <w:rPr>
                <w:sz w:val="18"/>
                <w:szCs w:val="18"/>
                <w:lang w:val="ru-RU"/>
              </w:rPr>
              <w:t>а</w:t>
            </w:r>
            <w:r w:rsidRPr="00A44EF8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C54E36" w:rsidRPr="00A44EF8" w:rsidRDefault="00C54E3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C54E36" w:rsidRPr="00A44EF8" w:rsidTr="00305B62">
        <w:trPr>
          <w:trHeight w:val="21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962D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</w:tr>
      <w:tr w:rsidR="00C54E36" w:rsidRPr="00A44EF8" w:rsidTr="00305B62">
        <w:trPr>
          <w:trHeight w:val="120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C54E36" w:rsidRPr="00A44EF8" w:rsidTr="00305B62">
        <w:trPr>
          <w:trHeight w:val="437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26.20.15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требуемой продукции:</w:t>
            </w:r>
          </w:p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146A8" w:rsidRPr="00A44EF8" w:rsidTr="00305B62">
        <w:trPr>
          <w:trHeight w:val="434"/>
        </w:trPr>
        <w:tc>
          <w:tcPr>
            <w:tcW w:w="423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146A8" w:rsidRPr="00A44EF8" w:rsidRDefault="00A146A8" w:rsidP="00A146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59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146A8" w:rsidRPr="00A44EF8" w:rsidRDefault="00A146A8" w:rsidP="00A146A8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C54E36" w:rsidRPr="00A44EF8" w:rsidTr="00305B62">
        <w:trPr>
          <w:trHeight w:val="434"/>
        </w:trPr>
        <w:tc>
          <w:tcPr>
            <w:tcW w:w="423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C54E36" w:rsidRPr="00A44EF8" w:rsidRDefault="00C54E36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50209B" w:rsidRPr="00A44EF8" w:rsidTr="00305B62">
        <w:trPr>
          <w:trHeight w:val="434"/>
        </w:trPr>
        <w:tc>
          <w:tcPr>
            <w:tcW w:w="423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50209B" w:rsidRPr="00A44EF8" w:rsidRDefault="0050209B" w:rsidP="0050209B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C54E36" w:rsidRPr="00A44EF8" w:rsidTr="00305B62">
        <w:trPr>
          <w:trHeight w:val="143"/>
        </w:trPr>
        <w:tc>
          <w:tcPr>
            <w:tcW w:w="423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4" w:type="dxa"/>
            <w:vMerge w:val="restart"/>
          </w:tcPr>
          <w:p w:rsidR="00C54E36" w:rsidRPr="00A44EF8" w:rsidRDefault="00C54E36" w:rsidP="00C54E3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26.20.16</w:t>
            </w:r>
          </w:p>
        </w:tc>
        <w:tc>
          <w:tcPr>
            <w:tcW w:w="1841" w:type="dxa"/>
            <w:vMerge w:val="restart"/>
          </w:tcPr>
          <w:p w:rsidR="00C54E36" w:rsidRPr="00A44EF8" w:rsidRDefault="00C54E3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768" w:type="dxa"/>
            <w:gridSpan w:val="9"/>
          </w:tcPr>
          <w:p w:rsidR="00C54E36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метод печати (струйный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50209B" w:rsidRPr="00A44EF8" w:rsidTr="00305B62">
        <w:trPr>
          <w:trHeight w:val="133"/>
        </w:trPr>
        <w:tc>
          <w:tcPr>
            <w:tcW w:w="423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50209B" w:rsidRPr="00A44EF8" w:rsidRDefault="0050209B" w:rsidP="0050209B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</w:rPr>
              <w:t xml:space="preserve">разрешение </w:t>
            </w:r>
            <w:r w:rsidRPr="00A44EF8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50209B" w:rsidRPr="00A44EF8" w:rsidRDefault="0050209B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59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50209B" w:rsidRPr="00A44EF8" w:rsidRDefault="0050209B" w:rsidP="0050209B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цветность (цветной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47666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476662" w:rsidRPr="00A44EF8" w:rsidRDefault="00476662" w:rsidP="0047666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4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26.30.23</w:t>
            </w:r>
          </w:p>
        </w:tc>
        <w:tc>
          <w:tcPr>
            <w:tcW w:w="1841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476662" w:rsidRPr="00A44EF8" w:rsidTr="00305B62">
        <w:trPr>
          <w:trHeight w:val="133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модулей и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интерфейсов (Wi-Fi, Bluetooth, USB GPS)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</w:tr>
      <w:tr w:rsidR="00476662" w:rsidRPr="00A44EF8" w:rsidTr="00305B62">
        <w:trPr>
          <w:trHeight w:val="28"/>
        </w:trPr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EF453D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EF453D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59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3F4B0A" w:rsidP="003F4B0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0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  <w:tc>
          <w:tcPr>
            <w:tcW w:w="1563" w:type="dxa"/>
          </w:tcPr>
          <w:p w:rsidR="00476662" w:rsidRPr="00A44EF8" w:rsidRDefault="00476662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476662" w:rsidRPr="00A44EF8" w:rsidRDefault="003F4B0A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тыс.руб.* в месяц</w:t>
            </w:r>
          </w:p>
        </w:tc>
      </w:tr>
      <w:tr w:rsidR="00476662" w:rsidRPr="00A44EF8" w:rsidTr="00305B62"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476662" w:rsidRPr="00A44EF8" w:rsidRDefault="00476662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>35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>е более 2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0 тыс.</w:t>
            </w:r>
          </w:p>
        </w:tc>
        <w:tc>
          <w:tcPr>
            <w:tcW w:w="1563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59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476662" w:rsidRPr="00A44EF8" w:rsidRDefault="0050209B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476662" w:rsidRPr="00A44EF8">
              <w:rPr>
                <w:rFonts w:eastAsia="Calibri"/>
                <w:sz w:val="18"/>
                <w:szCs w:val="18"/>
                <w:lang w:val="ru-RU" w:eastAsia="en-US"/>
              </w:rPr>
              <w:t>0 тыс.</w:t>
            </w:r>
          </w:p>
        </w:tc>
        <w:tc>
          <w:tcPr>
            <w:tcW w:w="1563" w:type="dxa"/>
            <w:vAlign w:val="bottom"/>
          </w:tcPr>
          <w:p w:rsidR="00476662" w:rsidRPr="00A44EF8" w:rsidRDefault="00476662" w:rsidP="0050209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0209B"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20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</w:t>
            </w:r>
          </w:p>
        </w:tc>
      </w:tr>
      <w:tr w:rsidR="00476662" w:rsidRPr="00A44EF8" w:rsidTr="00305B62">
        <w:tc>
          <w:tcPr>
            <w:tcW w:w="423" w:type="dxa"/>
            <w:vMerge w:val="restart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4" w:type="dxa"/>
            <w:vMerge w:val="restart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29.10.21</w:t>
            </w:r>
          </w:p>
        </w:tc>
        <w:tc>
          <w:tcPr>
            <w:tcW w:w="1841" w:type="dxa"/>
            <w:vMerge w:val="restart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4" w:type="dxa"/>
          </w:tcPr>
          <w:p w:rsidR="00476662" w:rsidRPr="00A44EF8" w:rsidRDefault="00476662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0A0DF1" w:rsidRPr="00A44EF8" w:rsidTr="00305B62">
        <w:tc>
          <w:tcPr>
            <w:tcW w:w="423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A0DF1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76662" w:rsidRPr="00A44EF8" w:rsidTr="00305B62">
        <w:tc>
          <w:tcPr>
            <w:tcW w:w="423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76662" w:rsidRPr="00A44EF8" w:rsidRDefault="000A0DF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76662" w:rsidRPr="00A44EF8" w:rsidRDefault="00476662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76662" w:rsidRPr="00A44EF8" w:rsidRDefault="000A0DF1" w:rsidP="000A0DF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29.10.22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29.10.23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29.10.24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Средства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ая сила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не более 200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29.10.30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 w:val="restart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54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29.10.41</w:t>
            </w:r>
          </w:p>
        </w:tc>
        <w:tc>
          <w:tcPr>
            <w:tcW w:w="1841" w:type="dxa"/>
            <w:vMerge w:val="restart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4E2D54" w:rsidRPr="00A44EF8" w:rsidRDefault="004E2D54" w:rsidP="004E2D5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4E2D54" w:rsidRPr="00A44EF8" w:rsidRDefault="004E2D54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4E2D54" w:rsidRPr="00A44EF8" w:rsidTr="00305B62">
        <w:tc>
          <w:tcPr>
            <w:tcW w:w="423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E2D54" w:rsidRPr="00A44EF8" w:rsidRDefault="004E2D5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4E2D54" w:rsidRPr="00A44EF8" w:rsidRDefault="004E2D5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29.10.42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29.10.43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Автомобили-тягачи седельные для полуприцепов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13.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29.10.44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14.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31.01.11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металлическая для офисов.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кожа натуральная.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31.01.12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E56B7" w:rsidRPr="00A44EF8" w:rsidTr="00305B62">
        <w:tc>
          <w:tcPr>
            <w:tcW w:w="423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16.</w:t>
            </w:r>
          </w:p>
        </w:tc>
        <w:tc>
          <w:tcPr>
            <w:tcW w:w="854" w:type="dxa"/>
            <w:vMerge w:val="restart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49.32.11</w:t>
            </w:r>
          </w:p>
        </w:tc>
        <w:tc>
          <w:tcPr>
            <w:tcW w:w="1841" w:type="dxa"/>
            <w:vMerge w:val="restart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такси </w:t>
            </w: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AB675A" w:rsidRPr="00A44EF8">
              <w:rPr>
                <w:rFonts w:eastAsia="Calibri"/>
                <w:sz w:val="18"/>
                <w:szCs w:val="18"/>
                <w:lang w:val="ru-RU" w:eastAsia="en-US"/>
              </w:rPr>
              <w:t>150</w:t>
            </w:r>
          </w:p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7E56B7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7E56B7" w:rsidRPr="00A44EF8" w:rsidTr="00305B62">
        <w:tc>
          <w:tcPr>
            <w:tcW w:w="423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7E56B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7E56B7" w:rsidRPr="00A44EF8" w:rsidRDefault="007E56B7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17.</w:t>
            </w:r>
          </w:p>
        </w:tc>
        <w:tc>
          <w:tcPr>
            <w:tcW w:w="854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49.32.12</w:t>
            </w:r>
          </w:p>
        </w:tc>
        <w:tc>
          <w:tcPr>
            <w:tcW w:w="1841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легковых автомобилей с водителем</w:t>
            </w: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B675A" w:rsidRPr="00A44EF8" w:rsidRDefault="00AB675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B675A" w:rsidRPr="00A44EF8" w:rsidTr="00305B62">
        <w:tc>
          <w:tcPr>
            <w:tcW w:w="423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18.</w:t>
            </w:r>
          </w:p>
        </w:tc>
        <w:tc>
          <w:tcPr>
            <w:tcW w:w="854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61.10.30</w:t>
            </w:r>
          </w:p>
        </w:tc>
        <w:tc>
          <w:tcPr>
            <w:tcW w:w="1841" w:type="dxa"/>
            <w:vMerge w:val="restart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по передаче данных по проводным телекоммуникационным сетям. </w:t>
            </w:r>
          </w:p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доля потерянных пакетов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%</w:t>
            </w: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</w:tr>
      <w:tr w:rsidR="00026D4A" w:rsidRPr="00A44EF8" w:rsidTr="00305B62">
        <w:tc>
          <w:tcPr>
            <w:tcW w:w="423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19.</w:t>
            </w:r>
          </w:p>
        </w:tc>
        <w:tc>
          <w:tcPr>
            <w:tcW w:w="854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61.20.11</w:t>
            </w: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подвижной радиотелефонной связи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руб.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4000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59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</w:tr>
      <w:tr w:rsidR="00AB675A" w:rsidRPr="00A44EF8" w:rsidTr="00305B62">
        <w:tc>
          <w:tcPr>
            <w:tcW w:w="423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"Интернет" (лимитная/безлимитная)</w:t>
            </w:r>
          </w:p>
        </w:tc>
        <w:tc>
          <w:tcPr>
            <w:tcW w:w="709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B675A" w:rsidRPr="00A44EF8" w:rsidRDefault="00AB675A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B675A" w:rsidRPr="00A44EF8" w:rsidRDefault="001826C9" w:rsidP="00AB675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59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B675A" w:rsidRPr="00A44EF8" w:rsidRDefault="001826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доступной услуги голосовой связи (минут),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B32C4" w:rsidRPr="00A44EF8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50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026D4A" w:rsidRPr="00A44EF8" w:rsidRDefault="00026D4A" w:rsidP="00026D4A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026D4A" w:rsidRPr="00A44EF8" w:rsidTr="00305B62">
        <w:tc>
          <w:tcPr>
            <w:tcW w:w="423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20.</w:t>
            </w:r>
          </w:p>
        </w:tc>
        <w:tc>
          <w:tcPr>
            <w:tcW w:w="854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77.11.10</w:t>
            </w: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hyperlink r:id="rId12" w:history="1">
              <w:r w:rsidRPr="00A44EF8">
                <w:rPr>
                  <w:sz w:val="18"/>
                  <w:szCs w:val="18"/>
                  <w:lang w:val="ru-RU"/>
                </w:rPr>
                <w:t xml:space="preserve">251 </w:t>
              </w:r>
            </w:hyperlink>
          </w:p>
        </w:tc>
        <w:tc>
          <w:tcPr>
            <w:tcW w:w="851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лошадиная сила 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0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3" w:type="dxa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коробки передач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 w:val="restart"/>
          </w:tcPr>
          <w:p w:rsidR="00026D4A" w:rsidRPr="00A44EF8" w:rsidRDefault="00026D4A" w:rsidP="00026D4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sz w:val="18"/>
                <w:szCs w:val="18"/>
                <w:lang w:val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rPr>
          <w:trHeight w:val="367"/>
        </w:trPr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26D4A" w:rsidRPr="00A44EF8" w:rsidTr="00305B62">
        <w:tc>
          <w:tcPr>
            <w:tcW w:w="423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B32C4" w:rsidRPr="00A44EF8" w:rsidTr="00305B62">
        <w:tc>
          <w:tcPr>
            <w:tcW w:w="423" w:type="dxa"/>
            <w:vMerge w:val="restart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21.</w:t>
            </w:r>
          </w:p>
        </w:tc>
        <w:tc>
          <w:tcPr>
            <w:tcW w:w="854" w:type="dxa"/>
            <w:vMerge w:val="restart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58.29.13</w:t>
            </w:r>
          </w:p>
        </w:tc>
        <w:tc>
          <w:tcPr>
            <w:tcW w:w="1841" w:type="dxa"/>
            <w:vMerge w:val="restart"/>
          </w:tcPr>
          <w:p w:rsidR="00A44EF8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1844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5B32C4" w:rsidRPr="00A44EF8" w:rsidRDefault="005B32C4" w:rsidP="005B32C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59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5B32C4" w:rsidRPr="00A44EF8" w:rsidRDefault="005B32C4" w:rsidP="005B32C4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</w:tr>
      <w:tr w:rsidR="003721AC" w:rsidRPr="00A44EF8" w:rsidTr="00305B62">
        <w:tc>
          <w:tcPr>
            <w:tcW w:w="423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721AC" w:rsidRPr="00A44EF8" w:rsidRDefault="005B32C4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721AC" w:rsidRPr="00A44EF8" w:rsidRDefault="003721AC" w:rsidP="00A44E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721AC" w:rsidRPr="00A44EF8" w:rsidTr="00305B62">
        <w:tc>
          <w:tcPr>
            <w:tcW w:w="423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22.</w:t>
            </w:r>
          </w:p>
        </w:tc>
        <w:tc>
          <w:tcPr>
            <w:tcW w:w="854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58.29.21</w:t>
            </w:r>
          </w:p>
        </w:tc>
        <w:tc>
          <w:tcPr>
            <w:tcW w:w="1841" w:type="dxa"/>
            <w:vMerge w:val="restart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3721AC" w:rsidRPr="00A44EF8" w:rsidRDefault="003721AC" w:rsidP="003721A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23.</w:t>
            </w:r>
          </w:p>
        </w:tc>
        <w:tc>
          <w:tcPr>
            <w:tcW w:w="85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58.29.31</w:t>
            </w:r>
          </w:p>
        </w:tc>
        <w:tc>
          <w:tcPr>
            <w:tcW w:w="184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1759C7" w:rsidRPr="00A44EF8" w:rsidTr="00305B62">
        <w:tc>
          <w:tcPr>
            <w:tcW w:w="42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24.</w:t>
            </w:r>
          </w:p>
        </w:tc>
        <w:tc>
          <w:tcPr>
            <w:tcW w:w="85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58.29.32</w:t>
            </w:r>
          </w:p>
        </w:tc>
        <w:tc>
          <w:tcPr>
            <w:tcW w:w="184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1759C7" w:rsidRPr="00A44EF8" w:rsidRDefault="001759C7" w:rsidP="001759C7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026D4A" w:rsidRPr="003853B5" w:rsidTr="00305B62">
        <w:tc>
          <w:tcPr>
            <w:tcW w:w="423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25.</w:t>
            </w:r>
          </w:p>
        </w:tc>
        <w:tc>
          <w:tcPr>
            <w:tcW w:w="85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61.90.10</w:t>
            </w:r>
          </w:p>
        </w:tc>
        <w:tc>
          <w:tcPr>
            <w:tcW w:w="1841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телекоммуникационные прочие. 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4" w:type="dxa"/>
          </w:tcPr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026D4A" w:rsidRPr="00A44EF8" w:rsidRDefault="00026D4A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30 </w:t>
            </w:r>
          </w:p>
        </w:tc>
        <w:tc>
          <w:tcPr>
            <w:tcW w:w="1560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026D4A" w:rsidRPr="00A44EF8" w:rsidRDefault="00395725" w:rsidP="00026D4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21230" w:rsidRDefault="00821230" w:rsidP="00821230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E154EF" w:rsidRDefault="00E154EF" w:rsidP="008212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1230" w:rsidRPr="00821230" w:rsidRDefault="00821230" w:rsidP="0082123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 xml:space="preserve">Объем расходов, рассчитанный с применением нормативных затрат на </w:t>
      </w:r>
      <w:r w:rsidR="00A44EF8">
        <w:rPr>
          <w:sz w:val="18"/>
          <w:szCs w:val="18"/>
          <w:lang w:val="ru-RU"/>
        </w:rPr>
        <w:t>услуги</w:t>
      </w:r>
      <w:r w:rsidRPr="00821230">
        <w:rPr>
          <w:sz w:val="18"/>
          <w:szCs w:val="18"/>
          <w:lang w:val="ru-RU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B4895" w:rsidRDefault="007B4895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3956" w:type="dxa"/>
        <w:tblLook w:val="04A0" w:firstRow="1" w:lastRow="0" w:firstColumn="1" w:lastColumn="0" w:noHBand="0" w:noVBand="1"/>
      </w:tblPr>
      <w:tblGrid>
        <w:gridCol w:w="3956"/>
      </w:tblGrid>
      <w:tr w:rsidR="00427001" w:rsidRPr="00897536" w:rsidTr="00130BA6">
        <w:trPr>
          <w:trHeight w:val="80"/>
        </w:trPr>
        <w:tc>
          <w:tcPr>
            <w:tcW w:w="3956" w:type="dxa"/>
          </w:tcPr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15095"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427001" w:rsidRPr="00897536" w:rsidRDefault="00C16EDC" w:rsidP="003905F2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315095" w:rsidRPr="00315095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</w:t>
            </w:r>
            <w:r w:rsidR="003905F2">
              <w:rPr>
                <w:sz w:val="24"/>
                <w:szCs w:val="24"/>
                <w:lang w:val="ru-RU" w:eastAsia="en-US"/>
              </w:rPr>
              <w:t>29</w:t>
            </w:r>
            <w:r>
              <w:rPr>
                <w:sz w:val="24"/>
                <w:szCs w:val="24"/>
                <w:lang w:val="ru-RU" w:eastAsia="en-US"/>
              </w:rPr>
              <w:t>» декабря 201</w:t>
            </w:r>
            <w:r w:rsidR="00305B62">
              <w:rPr>
                <w:sz w:val="24"/>
                <w:szCs w:val="24"/>
                <w:lang w:val="ru-RU"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315095" w:rsidRPr="00315095">
              <w:rPr>
                <w:sz w:val="24"/>
                <w:szCs w:val="24"/>
                <w:lang w:val="ru-RU" w:eastAsia="en-US"/>
              </w:rPr>
              <w:t>года №</w:t>
            </w:r>
            <w:r w:rsidR="003905F2">
              <w:rPr>
                <w:sz w:val="24"/>
                <w:szCs w:val="24"/>
                <w:lang w:val="ru-RU" w:eastAsia="en-US"/>
              </w:rPr>
              <w:t xml:space="preserve"> 1242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16388" w:rsidRPr="00416388" w:rsidRDefault="00427001" w:rsidP="004163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</w:t>
      </w:r>
      <w:r w:rsidR="00416388" w:rsidRPr="00416388">
        <w:rPr>
          <w:sz w:val="28"/>
          <w:szCs w:val="28"/>
          <w:lang w:val="ru-RU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427001" w:rsidRPr="004C5308" w:rsidRDefault="00416388" w:rsidP="0041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416388">
        <w:rPr>
          <w:sz w:val="28"/>
          <w:szCs w:val="28"/>
          <w:lang w:val="ru-RU"/>
        </w:rPr>
        <w:t>(в том числе предельные цены товаров, работ, услуг) к ним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W w:w="158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54"/>
        <w:gridCol w:w="1841"/>
        <w:gridCol w:w="1844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A44EF8" w:rsidRPr="00A44EF8" w:rsidTr="00525572">
        <w:tc>
          <w:tcPr>
            <w:tcW w:w="423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3" w:history="1">
              <w:r w:rsidRPr="00A44EF8">
                <w:rPr>
                  <w:rStyle w:val="ad"/>
                  <w:rFonts w:eastAsia="Calibri"/>
                  <w:sz w:val="18"/>
                  <w:szCs w:val="18"/>
                  <w:lang w:val="ru-RU" w:eastAsia="en-US"/>
                </w:rPr>
                <w:t xml:space="preserve">ОКПД2 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68" w:type="dxa"/>
            <w:gridSpan w:val="9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Требования к потребительским свойствам (в том числе качеству) и иным характеристикам (в том числе предельные цены)  отдельных видов товаров, работ, услуг</w:t>
            </w:r>
          </w:p>
        </w:tc>
      </w:tr>
      <w:tr w:rsidR="00A44EF8" w:rsidRPr="00A44EF8" w:rsidTr="00525572">
        <w:tc>
          <w:tcPr>
            <w:tcW w:w="423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A44EF8" w:rsidRPr="00A44EF8" w:rsidTr="00525572">
        <w:tc>
          <w:tcPr>
            <w:tcW w:w="423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4" w:history="1">
              <w:r w:rsidRPr="00A44EF8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казенные, бюджетные учреждения  и унитарные предприятия</w:t>
            </w:r>
          </w:p>
        </w:tc>
      </w:tr>
      <w:tr w:rsidR="00A44EF8" w:rsidRPr="00A44EF8" w:rsidTr="00525572">
        <w:trPr>
          <w:trHeight w:val="335"/>
        </w:trPr>
        <w:tc>
          <w:tcPr>
            <w:tcW w:w="15886" w:type="dxa"/>
            <w:gridSpan w:val="12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отдельные виды товаров (работ, услуг), значения свойств (характеристики) которых устанавливаются с учетом групп должностей</w:t>
            </w:r>
          </w:p>
        </w:tc>
      </w:tr>
      <w:tr w:rsidR="00A44EF8" w:rsidRPr="00A44EF8" w:rsidTr="00525572">
        <w:trPr>
          <w:trHeight w:val="2867"/>
        </w:trPr>
        <w:tc>
          <w:tcPr>
            <w:tcW w:w="423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A44EF8" w:rsidRPr="00A44EF8" w:rsidRDefault="00A44EF8" w:rsidP="00525572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A44EF8" w:rsidRPr="00A44EF8" w:rsidTr="00525572">
        <w:trPr>
          <w:trHeight w:val="178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Компьютеры портативные массой не более 10 кг такие, как ноутбуки, планшетные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A44EF8" w:rsidRPr="00A44EF8" w:rsidTr="00525572">
        <w:trPr>
          <w:trHeight w:val="32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17</w:t>
            </w:r>
          </w:p>
        </w:tc>
      </w:tr>
      <w:tr w:rsidR="00A44EF8" w:rsidRPr="00A44EF8" w:rsidTr="00525572">
        <w:trPr>
          <w:trHeight w:val="217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A44EF8" w:rsidRPr="00A44EF8" w:rsidTr="00525572">
        <w:trPr>
          <w:trHeight w:val="23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A44EF8" w:rsidRPr="00A44EF8" w:rsidTr="00525572">
        <w:trPr>
          <w:trHeight w:val="20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A44EF8" w:rsidRPr="00A44EF8" w:rsidTr="00525572">
        <w:trPr>
          <w:trHeight w:val="19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A44EF8" w:rsidRPr="00A44EF8" w:rsidTr="00525572">
        <w:trPr>
          <w:trHeight w:val="37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3G (UMTS)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A44EF8" w:rsidRPr="00A44EF8" w:rsidTr="00525572">
        <w:trPr>
          <w:trHeight w:val="30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A44EF8" w:rsidRPr="00A44EF8" w:rsidTr="00525572">
        <w:trPr>
          <w:trHeight w:val="39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значение – Microsoft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256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A44EF8">
              <w:rPr>
                <w:sz w:val="18"/>
                <w:szCs w:val="18"/>
              </w:rPr>
              <w:t>Wi</w:t>
            </w:r>
            <w:r w:rsidRPr="00A44EF8">
              <w:rPr>
                <w:sz w:val="18"/>
                <w:szCs w:val="18"/>
                <w:lang w:val="ru-RU"/>
              </w:rPr>
              <w:t>-</w:t>
            </w:r>
            <w:r w:rsidRPr="00A44EF8">
              <w:rPr>
                <w:sz w:val="18"/>
                <w:szCs w:val="18"/>
              </w:rPr>
              <w:t>Fi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  <w:r w:rsidRPr="00A44EF8">
              <w:rPr>
                <w:sz w:val="18"/>
                <w:szCs w:val="18"/>
              </w:rPr>
              <w:t>Bluetooth</w:t>
            </w:r>
            <w:r w:rsidRPr="00A44EF8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поддержк</w:t>
            </w:r>
            <w:r w:rsidRPr="00A44EF8">
              <w:rPr>
                <w:sz w:val="18"/>
                <w:szCs w:val="18"/>
                <w:lang w:val="ru-RU"/>
              </w:rPr>
              <w:t>а</w:t>
            </w:r>
            <w:r w:rsidRPr="00A44EF8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A44EF8" w:rsidRPr="00A44EF8" w:rsidTr="00525572">
        <w:trPr>
          <w:trHeight w:val="21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возможное значение –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Android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Windows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или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</w:tr>
      <w:tr w:rsidR="00A44EF8" w:rsidRPr="00A44EF8" w:rsidTr="00525572">
        <w:trPr>
          <w:trHeight w:val="120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A44EF8" w:rsidRPr="00A44EF8" w:rsidTr="00525572">
        <w:trPr>
          <w:trHeight w:val="437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26.20.15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требуемой продукции: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16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A44EF8" w:rsidRPr="00A44EF8" w:rsidTr="00525572">
        <w:trPr>
          <w:trHeight w:val="434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Microsoft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Office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2013 и выше</w:t>
            </w:r>
          </w:p>
        </w:tc>
      </w:tr>
      <w:tr w:rsidR="00A44EF8" w:rsidRPr="00A44EF8" w:rsidTr="00525572">
        <w:trPr>
          <w:trHeight w:val="143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26.20.16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метод печати (струйный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</w:rPr>
              <w:t xml:space="preserve">разрешение </w:t>
            </w:r>
            <w:r w:rsidRPr="00A44EF8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1200х4800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цветность (цветной</w:t>
            </w:r>
            <w:r w:rsidRPr="00A44EF8">
              <w:rPr>
                <w:sz w:val="18"/>
                <w:szCs w:val="18"/>
                <w:lang w:val="ru-RU"/>
              </w:rPr>
              <w:t xml:space="preserve"> </w:t>
            </w:r>
            <w:r w:rsidRPr="00A44EF8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</w:rPr>
            </w:pPr>
            <w:r w:rsidRPr="00A44EF8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768" w:type="dxa"/>
            <w:gridSpan w:val="9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26.30.23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A44EF8" w:rsidRPr="00A44EF8" w:rsidTr="00525572">
        <w:trPr>
          <w:trHeight w:val="133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модулей и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интерфейсов (Wi-Fi, Bluetooth, USB GPS)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значение- Wi-Fi, Bluetooth, USB, GPS</w:t>
            </w:r>
          </w:p>
        </w:tc>
      </w:tr>
      <w:tr w:rsidR="00A44EF8" w:rsidRPr="00A44EF8" w:rsidTr="00525572">
        <w:trPr>
          <w:trHeight w:val="28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 тыс.руб.* в месяц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35 тыс.</w:t>
            </w:r>
          </w:p>
        </w:tc>
        <w:tc>
          <w:tcPr>
            <w:tcW w:w="1560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3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59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0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  <w:tc>
          <w:tcPr>
            <w:tcW w:w="1563" w:type="dxa"/>
            <w:vAlign w:val="bottom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 тыс.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29.10.24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Средства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29.10.30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Автомобили-тягачи седельные для полуприцепов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13.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29.10.44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14.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металлическая для офисов.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кожа натуральная.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15.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31.01.12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16.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такси 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17.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49.32.12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легковых автомобилей с водителем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18.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61.10.30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по передаче данных по проводным телекоммуникационным сетям.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скорость канала передачи данных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доля потерянных пакетов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%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19.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61.20.11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подвижной радиотелефонной связи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4000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1000 на абонента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"Интернет" (лимитная/безлимитная)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безлимитная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доступной услуги голосовой связи (минут),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доступа в информационно-телекоммуникационную сеть "Интернет" (Гб)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5000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50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Не более 2000 минут на абонента, не более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10 </w:t>
            </w:r>
            <w:r w:rsidRPr="00A44EF8">
              <w:rPr>
                <w:rFonts w:eastAsia="Calibri"/>
                <w:sz w:val="18"/>
                <w:szCs w:val="18"/>
                <w:lang w:eastAsia="en-US"/>
              </w:rPr>
              <w:t>Gb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 на абонента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20.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77.11.10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hyperlink r:id="rId15" w:history="1">
              <w:r w:rsidRPr="00A44EF8">
                <w:rPr>
                  <w:sz w:val="18"/>
                  <w:szCs w:val="18"/>
                  <w:lang w:val="ru-RU"/>
                </w:rPr>
                <w:t xml:space="preserve">251 </w:t>
              </w:r>
            </w:hyperlink>
          </w:p>
        </w:tc>
        <w:tc>
          <w:tcPr>
            <w:tcW w:w="851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лошадиная сила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44EF8"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тип коробки передач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sz w:val="18"/>
                <w:szCs w:val="18"/>
                <w:lang w:val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rPr>
          <w:trHeight w:val="367"/>
        </w:trPr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21.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58.29.13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lang w:val="ru-RU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200 на одного пользователя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тыс. руб.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44EF8" w:rsidRPr="00A44EF8" w:rsidTr="00525572">
        <w:tc>
          <w:tcPr>
            <w:tcW w:w="423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22.</w:t>
            </w:r>
          </w:p>
        </w:tc>
        <w:tc>
          <w:tcPr>
            <w:tcW w:w="854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58.29.21</w:t>
            </w:r>
          </w:p>
        </w:tc>
        <w:tc>
          <w:tcPr>
            <w:tcW w:w="1841" w:type="dxa"/>
            <w:vMerge w:val="restart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4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23.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58.29.31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</w:t>
            </w: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A44EF8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24.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58.29.32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Да</w:t>
            </w:r>
          </w:p>
        </w:tc>
      </w:tr>
      <w:tr w:rsidR="00A44EF8" w:rsidRPr="003853B5" w:rsidTr="00525572">
        <w:tc>
          <w:tcPr>
            <w:tcW w:w="42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25.</w:t>
            </w:r>
          </w:p>
        </w:tc>
        <w:tc>
          <w:tcPr>
            <w:tcW w:w="85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61.90.10</w:t>
            </w:r>
          </w:p>
        </w:tc>
        <w:tc>
          <w:tcPr>
            <w:tcW w:w="184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телекоммуникационные прочие. 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4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максимальная скорость соединения в информационно-телекоммуникационной сети "Интернет"</w:t>
            </w:r>
          </w:p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2545</w:t>
            </w:r>
          </w:p>
        </w:tc>
        <w:tc>
          <w:tcPr>
            <w:tcW w:w="851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Мбит/с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30 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59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0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  <w:tc>
          <w:tcPr>
            <w:tcW w:w="1563" w:type="dxa"/>
          </w:tcPr>
          <w:p w:rsidR="00A44EF8" w:rsidRPr="00A44EF8" w:rsidRDefault="00A44EF8" w:rsidP="0052557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44EF8">
              <w:rPr>
                <w:rFonts w:eastAsia="Calibri"/>
                <w:sz w:val="18"/>
                <w:szCs w:val="18"/>
                <w:lang w:val="ru-RU" w:eastAsia="en-US"/>
              </w:rPr>
              <w:t>Не более 30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3853B5" w:rsidRDefault="003853B5" w:rsidP="003853B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3853B5" w:rsidRDefault="003853B5" w:rsidP="003853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853B5" w:rsidRPr="00821230" w:rsidRDefault="003853B5" w:rsidP="003853B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 xml:space="preserve">Объем расходов, рассчитанный с применением нормативных затрат на </w:t>
      </w:r>
      <w:r w:rsidR="00A44EF8">
        <w:rPr>
          <w:sz w:val="18"/>
          <w:szCs w:val="18"/>
          <w:lang w:val="ru-RU"/>
        </w:rPr>
        <w:t>услуги</w:t>
      </w:r>
      <w:r w:rsidRPr="00821230">
        <w:rPr>
          <w:sz w:val="18"/>
          <w:szCs w:val="18"/>
          <w:lang w:val="ru-RU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16"/>
      <w:footerReference w:type="default" r:id="rId17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11" w:rsidRPr="00842AB5" w:rsidRDefault="003E0E11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3E0E11" w:rsidRPr="00842AB5" w:rsidRDefault="003E0E11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2" w:rsidRPr="00842AB5" w:rsidRDefault="003905F2">
    <w:pPr>
      <w:pStyle w:val="a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11" w:rsidRPr="00842AB5" w:rsidRDefault="003E0E11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3E0E11" w:rsidRPr="00842AB5" w:rsidRDefault="003E0E11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F2" w:rsidRPr="00842AB5" w:rsidRDefault="003905F2" w:rsidP="007C3975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842AB5">
      <w:rPr>
        <w:rStyle w:val="aa"/>
        <w:sz w:val="19"/>
        <w:szCs w:val="19"/>
      </w:rPr>
      <w:fldChar w:fldCharType="begin"/>
    </w:r>
    <w:r w:rsidRPr="00842AB5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>
      <w:rPr>
        <w:rStyle w:val="aa"/>
        <w:noProof/>
        <w:sz w:val="19"/>
        <w:szCs w:val="19"/>
      </w:rPr>
      <w:t>14</w:t>
    </w:r>
    <w:r w:rsidRPr="00842AB5">
      <w:rPr>
        <w:rStyle w:val="aa"/>
        <w:sz w:val="19"/>
        <w:szCs w:val="19"/>
      </w:rPr>
      <w:fldChar w:fldCharType="end"/>
    </w:r>
  </w:p>
  <w:p w:rsidR="003905F2" w:rsidRPr="00842AB5" w:rsidRDefault="003905F2">
    <w:pPr>
      <w:pStyle w:val="a8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D4A"/>
    <w:rsid w:val="00026F62"/>
    <w:rsid w:val="000325B5"/>
    <w:rsid w:val="00033840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6638A"/>
    <w:rsid w:val="000666DC"/>
    <w:rsid w:val="0007321D"/>
    <w:rsid w:val="000754DE"/>
    <w:rsid w:val="00081307"/>
    <w:rsid w:val="000835BF"/>
    <w:rsid w:val="00087771"/>
    <w:rsid w:val="000905CD"/>
    <w:rsid w:val="000A0DF1"/>
    <w:rsid w:val="000A11A7"/>
    <w:rsid w:val="000A60A3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50BB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1773"/>
    <w:rsid w:val="0012241F"/>
    <w:rsid w:val="00123268"/>
    <w:rsid w:val="00123971"/>
    <w:rsid w:val="00123A59"/>
    <w:rsid w:val="00124063"/>
    <w:rsid w:val="00126F0A"/>
    <w:rsid w:val="00127C73"/>
    <w:rsid w:val="0013040E"/>
    <w:rsid w:val="00130BA6"/>
    <w:rsid w:val="00131A0C"/>
    <w:rsid w:val="00133B84"/>
    <w:rsid w:val="00133E5A"/>
    <w:rsid w:val="0013418B"/>
    <w:rsid w:val="0013468D"/>
    <w:rsid w:val="001356EC"/>
    <w:rsid w:val="00135717"/>
    <w:rsid w:val="00136D93"/>
    <w:rsid w:val="00137710"/>
    <w:rsid w:val="0014031E"/>
    <w:rsid w:val="001421F1"/>
    <w:rsid w:val="00142900"/>
    <w:rsid w:val="001435DF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43D"/>
    <w:rsid w:val="0016552A"/>
    <w:rsid w:val="00165FA5"/>
    <w:rsid w:val="0016681E"/>
    <w:rsid w:val="00171263"/>
    <w:rsid w:val="001759C7"/>
    <w:rsid w:val="00181314"/>
    <w:rsid w:val="001826C9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38EE"/>
    <w:rsid w:val="001B43E4"/>
    <w:rsid w:val="001B76FF"/>
    <w:rsid w:val="001C0BE4"/>
    <w:rsid w:val="001C0FF7"/>
    <w:rsid w:val="001C3AC2"/>
    <w:rsid w:val="001D0719"/>
    <w:rsid w:val="001D072F"/>
    <w:rsid w:val="001D1862"/>
    <w:rsid w:val="001D2F5F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5FEB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C55BB"/>
    <w:rsid w:val="002D1346"/>
    <w:rsid w:val="002D3C93"/>
    <w:rsid w:val="002D764E"/>
    <w:rsid w:val="002D765D"/>
    <w:rsid w:val="002E0D08"/>
    <w:rsid w:val="002E13F1"/>
    <w:rsid w:val="002E14A8"/>
    <w:rsid w:val="002E54A4"/>
    <w:rsid w:val="002F0265"/>
    <w:rsid w:val="002F36CB"/>
    <w:rsid w:val="002F41F9"/>
    <w:rsid w:val="002F42C4"/>
    <w:rsid w:val="002F7857"/>
    <w:rsid w:val="003028A0"/>
    <w:rsid w:val="00304A48"/>
    <w:rsid w:val="00305B62"/>
    <w:rsid w:val="003063CE"/>
    <w:rsid w:val="0030660F"/>
    <w:rsid w:val="00315095"/>
    <w:rsid w:val="00316C6A"/>
    <w:rsid w:val="00317943"/>
    <w:rsid w:val="00322C01"/>
    <w:rsid w:val="003239C3"/>
    <w:rsid w:val="00325D17"/>
    <w:rsid w:val="00326165"/>
    <w:rsid w:val="00326CD0"/>
    <w:rsid w:val="00327E16"/>
    <w:rsid w:val="0033629D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5B93"/>
    <w:rsid w:val="0036706A"/>
    <w:rsid w:val="00367C4D"/>
    <w:rsid w:val="00371E0F"/>
    <w:rsid w:val="003721AC"/>
    <w:rsid w:val="0037292F"/>
    <w:rsid w:val="00373F34"/>
    <w:rsid w:val="003765B8"/>
    <w:rsid w:val="003771BC"/>
    <w:rsid w:val="003815E5"/>
    <w:rsid w:val="003853B5"/>
    <w:rsid w:val="003905F2"/>
    <w:rsid w:val="00391E35"/>
    <w:rsid w:val="00394368"/>
    <w:rsid w:val="00395725"/>
    <w:rsid w:val="003A0BC7"/>
    <w:rsid w:val="003A7317"/>
    <w:rsid w:val="003B05D9"/>
    <w:rsid w:val="003B327B"/>
    <w:rsid w:val="003C1144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0E11"/>
    <w:rsid w:val="003E1473"/>
    <w:rsid w:val="003E2ECE"/>
    <w:rsid w:val="003E4461"/>
    <w:rsid w:val="003E584F"/>
    <w:rsid w:val="003E7C30"/>
    <w:rsid w:val="003E7C97"/>
    <w:rsid w:val="003F221A"/>
    <w:rsid w:val="003F4B0A"/>
    <w:rsid w:val="00404FAE"/>
    <w:rsid w:val="0040655D"/>
    <w:rsid w:val="004151DD"/>
    <w:rsid w:val="004162E5"/>
    <w:rsid w:val="00416388"/>
    <w:rsid w:val="00416493"/>
    <w:rsid w:val="00416A4D"/>
    <w:rsid w:val="0041794F"/>
    <w:rsid w:val="00420B1D"/>
    <w:rsid w:val="00420D8D"/>
    <w:rsid w:val="004220AB"/>
    <w:rsid w:val="00424D94"/>
    <w:rsid w:val="00425FC3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1175"/>
    <w:rsid w:val="00473F26"/>
    <w:rsid w:val="00476662"/>
    <w:rsid w:val="004816B4"/>
    <w:rsid w:val="00482C16"/>
    <w:rsid w:val="00482E1E"/>
    <w:rsid w:val="0048430E"/>
    <w:rsid w:val="004869E5"/>
    <w:rsid w:val="00487748"/>
    <w:rsid w:val="00490EDA"/>
    <w:rsid w:val="00492FCF"/>
    <w:rsid w:val="004930D4"/>
    <w:rsid w:val="00493549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5308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2D54"/>
    <w:rsid w:val="004E5D88"/>
    <w:rsid w:val="004E6071"/>
    <w:rsid w:val="004E6977"/>
    <w:rsid w:val="004E7ECB"/>
    <w:rsid w:val="004F17A1"/>
    <w:rsid w:val="004F22C7"/>
    <w:rsid w:val="004F2BBA"/>
    <w:rsid w:val="004F5321"/>
    <w:rsid w:val="004F6115"/>
    <w:rsid w:val="00500643"/>
    <w:rsid w:val="0050209B"/>
    <w:rsid w:val="00505983"/>
    <w:rsid w:val="005102D9"/>
    <w:rsid w:val="00510E73"/>
    <w:rsid w:val="00511823"/>
    <w:rsid w:val="00511874"/>
    <w:rsid w:val="005122BC"/>
    <w:rsid w:val="00513D6E"/>
    <w:rsid w:val="0051506D"/>
    <w:rsid w:val="00515417"/>
    <w:rsid w:val="00515EA9"/>
    <w:rsid w:val="005207F8"/>
    <w:rsid w:val="0052363E"/>
    <w:rsid w:val="00525572"/>
    <w:rsid w:val="00525B11"/>
    <w:rsid w:val="00526C29"/>
    <w:rsid w:val="005270ED"/>
    <w:rsid w:val="00533097"/>
    <w:rsid w:val="005336C0"/>
    <w:rsid w:val="0053731C"/>
    <w:rsid w:val="00537521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055"/>
    <w:rsid w:val="00595A2B"/>
    <w:rsid w:val="0059776B"/>
    <w:rsid w:val="005A6377"/>
    <w:rsid w:val="005B00A9"/>
    <w:rsid w:val="005B32C4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E6DE8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2616"/>
    <w:rsid w:val="006158AE"/>
    <w:rsid w:val="006203E9"/>
    <w:rsid w:val="00623DE3"/>
    <w:rsid w:val="006272A0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0B3D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227A"/>
    <w:rsid w:val="006F34A2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343F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4895"/>
    <w:rsid w:val="007B5096"/>
    <w:rsid w:val="007C29E9"/>
    <w:rsid w:val="007C2BB8"/>
    <w:rsid w:val="007C3143"/>
    <w:rsid w:val="007C3975"/>
    <w:rsid w:val="007C49AA"/>
    <w:rsid w:val="007D2CC6"/>
    <w:rsid w:val="007D3DAD"/>
    <w:rsid w:val="007D3FA4"/>
    <w:rsid w:val="007D6A3A"/>
    <w:rsid w:val="007D7C5F"/>
    <w:rsid w:val="007E00EC"/>
    <w:rsid w:val="007E4F2D"/>
    <w:rsid w:val="007E56B7"/>
    <w:rsid w:val="007F106D"/>
    <w:rsid w:val="007F1CA5"/>
    <w:rsid w:val="007F1E74"/>
    <w:rsid w:val="007F4330"/>
    <w:rsid w:val="007F48F4"/>
    <w:rsid w:val="007F5EF1"/>
    <w:rsid w:val="007F6AD6"/>
    <w:rsid w:val="00801042"/>
    <w:rsid w:val="008047D9"/>
    <w:rsid w:val="00805AF7"/>
    <w:rsid w:val="00810D85"/>
    <w:rsid w:val="008117FC"/>
    <w:rsid w:val="00816517"/>
    <w:rsid w:val="00817EEA"/>
    <w:rsid w:val="00821230"/>
    <w:rsid w:val="00822C9C"/>
    <w:rsid w:val="008259D1"/>
    <w:rsid w:val="00827DB5"/>
    <w:rsid w:val="00830E76"/>
    <w:rsid w:val="0083147B"/>
    <w:rsid w:val="0083171C"/>
    <w:rsid w:val="0084029D"/>
    <w:rsid w:val="00840374"/>
    <w:rsid w:val="00842AB5"/>
    <w:rsid w:val="00844AE4"/>
    <w:rsid w:val="00846B9B"/>
    <w:rsid w:val="00851B71"/>
    <w:rsid w:val="00853281"/>
    <w:rsid w:val="008641AE"/>
    <w:rsid w:val="00865B52"/>
    <w:rsid w:val="00866794"/>
    <w:rsid w:val="008714BF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394F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BC7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6E73"/>
    <w:rsid w:val="00917B0C"/>
    <w:rsid w:val="00923786"/>
    <w:rsid w:val="009307C3"/>
    <w:rsid w:val="00931F27"/>
    <w:rsid w:val="00932222"/>
    <w:rsid w:val="00936871"/>
    <w:rsid w:val="0094315E"/>
    <w:rsid w:val="00943230"/>
    <w:rsid w:val="0094485E"/>
    <w:rsid w:val="00950469"/>
    <w:rsid w:val="00952EC8"/>
    <w:rsid w:val="00961C94"/>
    <w:rsid w:val="00962DB5"/>
    <w:rsid w:val="00964BD0"/>
    <w:rsid w:val="00967CEF"/>
    <w:rsid w:val="009716F8"/>
    <w:rsid w:val="00973EFF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5D61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46A8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4EF8"/>
    <w:rsid w:val="00A45B36"/>
    <w:rsid w:val="00A51042"/>
    <w:rsid w:val="00A51CCD"/>
    <w:rsid w:val="00A52E32"/>
    <w:rsid w:val="00A546DD"/>
    <w:rsid w:val="00A550F9"/>
    <w:rsid w:val="00A5714D"/>
    <w:rsid w:val="00A57B2C"/>
    <w:rsid w:val="00A615E3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3901"/>
    <w:rsid w:val="00AB605D"/>
    <w:rsid w:val="00AB675A"/>
    <w:rsid w:val="00AB6DD9"/>
    <w:rsid w:val="00AB7F07"/>
    <w:rsid w:val="00AC00EE"/>
    <w:rsid w:val="00AC0FF8"/>
    <w:rsid w:val="00AC151F"/>
    <w:rsid w:val="00AC1AC1"/>
    <w:rsid w:val="00AC3F1D"/>
    <w:rsid w:val="00AC4607"/>
    <w:rsid w:val="00AC5036"/>
    <w:rsid w:val="00AD1391"/>
    <w:rsid w:val="00AD3453"/>
    <w:rsid w:val="00AD37CD"/>
    <w:rsid w:val="00AD762D"/>
    <w:rsid w:val="00AE01A8"/>
    <w:rsid w:val="00AE2B4A"/>
    <w:rsid w:val="00AE39D6"/>
    <w:rsid w:val="00AE4BE7"/>
    <w:rsid w:val="00AF032C"/>
    <w:rsid w:val="00AF0E75"/>
    <w:rsid w:val="00AF3026"/>
    <w:rsid w:val="00AF3F62"/>
    <w:rsid w:val="00AF52AB"/>
    <w:rsid w:val="00AF717B"/>
    <w:rsid w:val="00B03848"/>
    <w:rsid w:val="00B1288A"/>
    <w:rsid w:val="00B12A84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53A99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A3593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D7DD9"/>
    <w:rsid w:val="00BE05A2"/>
    <w:rsid w:val="00BE1382"/>
    <w:rsid w:val="00BE2EDE"/>
    <w:rsid w:val="00BE622F"/>
    <w:rsid w:val="00BF0E56"/>
    <w:rsid w:val="00BF3A21"/>
    <w:rsid w:val="00BF50E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87A"/>
    <w:rsid w:val="00C16BEF"/>
    <w:rsid w:val="00C16EDC"/>
    <w:rsid w:val="00C21DBE"/>
    <w:rsid w:val="00C263AC"/>
    <w:rsid w:val="00C3175E"/>
    <w:rsid w:val="00C43DCC"/>
    <w:rsid w:val="00C46A18"/>
    <w:rsid w:val="00C46BE2"/>
    <w:rsid w:val="00C5135A"/>
    <w:rsid w:val="00C52FF4"/>
    <w:rsid w:val="00C54E36"/>
    <w:rsid w:val="00C555F6"/>
    <w:rsid w:val="00C572AA"/>
    <w:rsid w:val="00C57604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29E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46960"/>
    <w:rsid w:val="00D474BC"/>
    <w:rsid w:val="00D50463"/>
    <w:rsid w:val="00D50EF5"/>
    <w:rsid w:val="00D50F43"/>
    <w:rsid w:val="00D526FE"/>
    <w:rsid w:val="00D52702"/>
    <w:rsid w:val="00D6020A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867F6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3E35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26E65"/>
    <w:rsid w:val="00E36DBF"/>
    <w:rsid w:val="00E37395"/>
    <w:rsid w:val="00E4090D"/>
    <w:rsid w:val="00E458E4"/>
    <w:rsid w:val="00E50C20"/>
    <w:rsid w:val="00E52FD8"/>
    <w:rsid w:val="00E54282"/>
    <w:rsid w:val="00E54C64"/>
    <w:rsid w:val="00E5729C"/>
    <w:rsid w:val="00E57B9A"/>
    <w:rsid w:val="00E61BF9"/>
    <w:rsid w:val="00E670A7"/>
    <w:rsid w:val="00E676A0"/>
    <w:rsid w:val="00E71228"/>
    <w:rsid w:val="00E72176"/>
    <w:rsid w:val="00E72BE9"/>
    <w:rsid w:val="00E731C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10A1"/>
    <w:rsid w:val="00EB3DA2"/>
    <w:rsid w:val="00EB54F0"/>
    <w:rsid w:val="00EB698C"/>
    <w:rsid w:val="00EB6B2C"/>
    <w:rsid w:val="00EB755D"/>
    <w:rsid w:val="00EC0617"/>
    <w:rsid w:val="00EC0CB3"/>
    <w:rsid w:val="00EC169E"/>
    <w:rsid w:val="00EC1CDD"/>
    <w:rsid w:val="00EC4826"/>
    <w:rsid w:val="00EC7218"/>
    <w:rsid w:val="00ED001F"/>
    <w:rsid w:val="00ED0ABA"/>
    <w:rsid w:val="00ED31E8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453D"/>
    <w:rsid w:val="00EF77AF"/>
    <w:rsid w:val="00F07350"/>
    <w:rsid w:val="00F07873"/>
    <w:rsid w:val="00F10BFF"/>
    <w:rsid w:val="00F11A54"/>
    <w:rsid w:val="00F15A00"/>
    <w:rsid w:val="00F15C99"/>
    <w:rsid w:val="00F1700F"/>
    <w:rsid w:val="00F17E1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04EE"/>
    <w:rsid w:val="00F722E6"/>
    <w:rsid w:val="00F7361D"/>
    <w:rsid w:val="00F73ABF"/>
    <w:rsid w:val="00F83E5E"/>
    <w:rsid w:val="00F869A0"/>
    <w:rsid w:val="00F90453"/>
    <w:rsid w:val="00F956DA"/>
    <w:rsid w:val="00F97A85"/>
    <w:rsid w:val="00FA0AF8"/>
    <w:rsid w:val="00FA0DA8"/>
    <w:rsid w:val="00FA2815"/>
    <w:rsid w:val="00FA48A3"/>
    <w:rsid w:val="00FA4AC6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DD1CC-4B80-46DE-BF75-11493FFC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F8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4E05"/>
    <w:rPr>
      <w:sz w:val="28"/>
      <w:lang w:val="x-none" w:eastAsia="x-none"/>
    </w:rPr>
  </w:style>
  <w:style w:type="paragraph" w:customStyle="1" w:styleId="a5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a">
    <w:name w:val="page number"/>
    <w:basedOn w:val="a0"/>
    <w:rsid w:val="00A1025D"/>
  </w:style>
  <w:style w:type="paragraph" w:styleId="ab">
    <w:name w:val="Body Text Indent"/>
    <w:basedOn w:val="a"/>
    <w:link w:val="ac"/>
    <w:rsid w:val="007E4F2D"/>
    <w:pPr>
      <w:spacing w:after="120"/>
      <w:ind w:left="283"/>
    </w:pPr>
    <w:rPr>
      <w:lang w:eastAsia="x-none"/>
    </w:rPr>
  </w:style>
  <w:style w:type="character" w:styleId="ad">
    <w:name w:val="Hyperlink"/>
    <w:rsid w:val="00AD762D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D762D"/>
    <w:rPr>
      <w:lang w:val="en-US"/>
    </w:rPr>
  </w:style>
  <w:style w:type="paragraph" w:styleId="af0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764918"/>
    <w:rPr>
      <w:rFonts w:ascii="Segoe UI" w:hAnsi="Segoe UI"/>
      <w:sz w:val="18"/>
      <w:szCs w:val="18"/>
      <w:lang w:eastAsia="x-none"/>
    </w:rPr>
  </w:style>
  <w:style w:type="character" w:customStyle="1" w:styleId="af2">
    <w:name w:val="Текст выноски Знак"/>
    <w:link w:val="af1"/>
    <w:rsid w:val="00764918"/>
    <w:rPr>
      <w:rFonts w:ascii="Segoe UI" w:hAnsi="Segoe UI" w:cs="Segoe UI"/>
      <w:sz w:val="18"/>
      <w:szCs w:val="18"/>
      <w:lang w:val="en-US"/>
    </w:rPr>
  </w:style>
  <w:style w:type="paragraph" w:styleId="af3">
    <w:name w:val="footnote text"/>
    <w:basedOn w:val="a"/>
    <w:link w:val="af4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900F82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900F82"/>
    <w:rPr>
      <w:vertAlign w:val="superscript"/>
    </w:rPr>
  </w:style>
  <w:style w:type="character" w:styleId="af6">
    <w:name w:val="annotation reference"/>
    <w:rsid w:val="00294000"/>
    <w:rPr>
      <w:sz w:val="16"/>
      <w:szCs w:val="16"/>
    </w:rPr>
  </w:style>
  <w:style w:type="paragraph" w:styleId="af7">
    <w:name w:val="annotation text"/>
    <w:basedOn w:val="a"/>
    <w:link w:val="af8"/>
    <w:rsid w:val="00294000"/>
    <w:rPr>
      <w:lang w:eastAsia="x-none"/>
    </w:rPr>
  </w:style>
  <w:style w:type="character" w:customStyle="1" w:styleId="af8">
    <w:name w:val="Текст примечания Знак"/>
    <w:link w:val="af7"/>
    <w:rsid w:val="00294000"/>
    <w:rPr>
      <w:lang w:val="en-US"/>
    </w:rPr>
  </w:style>
  <w:style w:type="paragraph" w:styleId="af9">
    <w:name w:val="annotation subject"/>
    <w:basedOn w:val="af7"/>
    <w:next w:val="af7"/>
    <w:link w:val="afa"/>
    <w:rsid w:val="00294000"/>
    <w:rPr>
      <w:b/>
      <w:bCs/>
    </w:rPr>
  </w:style>
  <w:style w:type="character" w:customStyle="1" w:styleId="afa">
    <w:name w:val="Тема примечания Знак"/>
    <w:link w:val="af9"/>
    <w:rsid w:val="00294000"/>
    <w:rPr>
      <w:b/>
      <w:bCs/>
      <w:lang w:val="en-US"/>
    </w:rPr>
  </w:style>
  <w:style w:type="paragraph" w:styleId="afb">
    <w:name w:val="endnote text"/>
    <w:basedOn w:val="a"/>
    <w:link w:val="afc"/>
    <w:rsid w:val="00830E76"/>
    <w:rPr>
      <w:lang w:eastAsia="x-none"/>
    </w:rPr>
  </w:style>
  <w:style w:type="character" w:customStyle="1" w:styleId="afc">
    <w:name w:val="Текст концевой сноски Знак"/>
    <w:link w:val="afb"/>
    <w:rsid w:val="00830E76"/>
    <w:rPr>
      <w:lang w:val="en-US"/>
    </w:rPr>
  </w:style>
  <w:style w:type="character" w:styleId="afd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C16BEF"/>
    <w:rPr>
      <w:lang w:val="en-US"/>
    </w:rPr>
  </w:style>
  <w:style w:type="character" w:customStyle="1" w:styleId="10">
    <w:name w:val="Заголовок 1 Знак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15095"/>
    <w:rPr>
      <w:b/>
      <w:caps/>
      <w:spacing w:val="40"/>
      <w:sz w:val="32"/>
    </w:rPr>
  </w:style>
  <w:style w:type="character" w:customStyle="1" w:styleId="a4">
    <w:name w:val="Основной текст Знак"/>
    <w:link w:val="a3"/>
    <w:rsid w:val="00315095"/>
    <w:rPr>
      <w:sz w:val="28"/>
    </w:rPr>
  </w:style>
  <w:style w:type="character" w:customStyle="1" w:styleId="30">
    <w:name w:val="Основной текст 3 Знак"/>
    <w:link w:val="3"/>
    <w:rsid w:val="0031509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3150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consultantplus://offline/ref=3FE7C8B1FB34D218549A72C4B2BF68924C414153EC51626F7B209828C0u60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67686C232F16DFE2B34C2E53813A9BBE70AA2E34171078730637EB7105DA801FB6D5AB8235BC17S1V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94EF21CC9BDF21AA6CF65F4814E958AE1A3C7CAFF09ACDDA953944DbBr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7686C232F16DFE2B34C2E53813A9BBE70AA2E34171078730637EB7105DA801FB6D5AB8235BC17S1VEK" TargetMode="External"/><Relationship Id="rId10" Type="http://schemas.openxmlformats.org/officeDocument/2006/relationships/hyperlink" Target="consultantplus://offline/ref=3FE7C8B1FB34D218549A72C4B2BF68924C414153EC51626F7B209828C0u602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1594EF21CC9BDF21AA6CF65F4814E958AE1A3C7CAFF09ACDDA953944DbBr1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97E7-B760-4669-8C42-CF783E52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8777</Words>
  <Characters>50031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58691</CharactersWithSpaces>
  <SharedDoc>false</SharedDoc>
  <HLinks>
    <vt:vector size="36" baseType="variant"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consultantplus://offline/ref=5667686C232F16DFE2B34C2E53813A9BBE70AA2E34171078730637EB7105DA801FB6D5AB8235BC17S1VEK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5832792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consultantplus://offline/ref=3FE7C8B1FB34D218549A72C4B2BF68924C414153EC51626F7B209828C0u602D</vt:lpwstr>
      </vt:variant>
      <vt:variant>
        <vt:lpwstr/>
      </vt:variant>
      <vt:variant>
        <vt:i4>8126567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consultantplus://offline/ref=5667686C232F16DFE2B34C2E53813A9BBE70AA2E34171078730637EB7105DA801FB6D5AB8235BC17S1VEK</vt:lpwstr>
      </vt:variant>
      <vt:variant>
        <vt:lpwstr/>
      </vt:variant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5832792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consultantplus://offline/ref=3FE7C8B1FB34D218549A72C4B2BF68924C414153EC51626F7B209828C0u602D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dc:description/>
  <cp:lastModifiedBy>Мязитов Марсель Наильевич</cp:lastModifiedBy>
  <cp:revision>2</cp:revision>
  <cp:lastPrinted>2016-12-29T09:09:00Z</cp:lastPrinted>
  <dcterms:created xsi:type="dcterms:W3CDTF">2016-12-30T09:06:00Z</dcterms:created>
  <dcterms:modified xsi:type="dcterms:W3CDTF">2016-12-30T09:06:00Z</dcterms:modified>
</cp:coreProperties>
</file>