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C3689" w14:textId="77777777" w:rsidR="000177B6" w:rsidRPr="000177B6" w:rsidRDefault="000177B6" w:rsidP="0001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177B6">
        <w:rPr>
          <w:rFonts w:ascii="Times New Roman" w:eastAsia="Times New Roman" w:hAnsi="Times New Roman" w:cs="Times New Roman"/>
          <w:sz w:val="28"/>
          <w:szCs w:val="28"/>
        </w:rPr>
        <w:t xml:space="preserve">Порядок (методика) </w:t>
      </w:r>
      <w:r w:rsidRPr="000177B6">
        <w:rPr>
          <w:rFonts w:ascii="Times New Roman" w:eastAsia="Times New Roman" w:hAnsi="Times New Roman" w:cs="Times New Roman"/>
          <w:sz w:val="28"/>
          <w:szCs w:val="28"/>
        </w:rPr>
        <w:br/>
        <w:t>расчета начальной цены предмета аукциона и размера платы по договору на размещение нестационарного торгового объекта на территории городского поселения Лянтор</w:t>
      </w:r>
    </w:p>
    <w:p w14:paraId="51851CAE" w14:textId="77777777" w:rsidR="000177B6" w:rsidRPr="000177B6" w:rsidRDefault="000177B6" w:rsidP="000177B6">
      <w:pPr>
        <w:spacing w:after="1" w:line="240" w:lineRule="auto"/>
        <w:rPr>
          <w:rFonts w:ascii="Times New Roman" w:eastAsia="Calibri" w:hAnsi="Times New Roman" w:cs="Times New Roman"/>
          <w:sz w:val="20"/>
          <w:szCs w:val="26"/>
        </w:rPr>
      </w:pPr>
    </w:p>
    <w:p w14:paraId="7AAA2329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Размер платы по договору на размещение нестационарных торговых объектов на территории городского поселения Лянтор рассчитывается по формуле:</w:t>
      </w:r>
    </w:p>
    <w:p w14:paraId="6C13E7EF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5A865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БС x S x П x </w:t>
      </w:r>
      <w:proofErr w:type="spellStart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Ксн</w:t>
      </w:r>
      <w:proofErr w:type="spellEnd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</w:t>
      </w:r>
      <w:proofErr w:type="spellEnd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Кпл</w:t>
      </w:r>
      <w:proofErr w:type="spellEnd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E0A0C2D" w14:textId="77777777" w:rsidR="000177B6" w:rsidRPr="000177B6" w:rsidRDefault="000177B6" w:rsidP="000177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81D9E4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 - базовая ставка платы за размещение НТО (далее – базовая ставка) в год за один квадратный метр площади места размещения нестационарного торгового объекта (в рублях). </w:t>
      </w:r>
    </w:p>
    <w:p w14:paraId="4A90B481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базовой ставки за один квадратный метр площади размещения НТО утверждается муниципальным правовым актом Администрации городского поселения Лянтор;</w:t>
      </w:r>
    </w:p>
    <w:p w14:paraId="2C6986F1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S - площадь места размещения НТО (в кв. м). Если НТО имеет более одного этажа, площадь для расчета размера платы за размещение НТО определяется путем суммирования площадей каждого этажа НТО;</w:t>
      </w:r>
    </w:p>
    <w:p w14:paraId="676AA05E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П - период размещения НТО (при исчислении периода за один месяц значение П равно 1, при исчислении периода за 1 год значение П равно 12, при исчислении периода за один день значение П равно 1 * 12/365);</w:t>
      </w:r>
    </w:p>
    <w:p w14:paraId="009727AB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Ксн</w:t>
      </w:r>
      <w:proofErr w:type="spellEnd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специализацию (тип) НТО, устанавливается в соответствии с </w:t>
      </w:r>
      <w:hyperlink w:anchor="P714" w:history="1">
        <w:r w:rsidRPr="00017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таблицей 1</w:t>
        </w:r>
      </w:hyperlink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41D985B7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</w:t>
      </w:r>
      <w:proofErr w:type="spellEnd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месторасположение НТО, устанавливается в соответствии с </w:t>
      </w:r>
      <w:hyperlink w:anchor="P730" w:history="1">
        <w:r w:rsidRPr="00017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таблицей 2</w:t>
        </w:r>
      </w:hyperlink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50EB98F8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Кпл</w:t>
      </w:r>
      <w:proofErr w:type="spellEnd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площадь НТО, устанавливается в соответствии с таблицей </w:t>
      </w:r>
      <w:hyperlink w:anchor="P730" w:history="1">
        <w:r w:rsidRPr="00017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79583F14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в НТО нескольких видов деятельности, по которым установлены различные значения коэффициента, учитывающего специализацию (тип) НТО </w:t>
      </w:r>
      <w:proofErr w:type="spellStart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Ксн</w:t>
      </w:r>
      <w:proofErr w:type="spellEnd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платы по договору на размещение НТО рассчитывается по формуле:</w:t>
      </w:r>
    </w:p>
    <w:p w14:paraId="4978CC10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96DEF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БС x (S1 x Ксн1 + S2 x Ксн2) x П x </w:t>
      </w:r>
      <w:proofErr w:type="spellStart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Кпл</w:t>
      </w:r>
      <w:proofErr w:type="spellEnd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483B47C9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DBB52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S1, S2 - площади НТО, на которых осуществляется деятельность по специализациям, определенным в соответствии с </w:t>
      </w:r>
      <w:hyperlink w:anchor="P714" w:history="1">
        <w:r w:rsidRPr="00017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таблицей 1</w:t>
        </w:r>
      </w:hyperlink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4C47EF56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Ксн1, Ксн2 - коэффициент, учитывающий специализацию (тип) НТО в отношении части площади НТО, на которой осуществляется деятельность соответствующей специализации в соответствии с </w:t>
      </w:r>
      <w:hyperlink w:anchor="P714" w:history="1">
        <w:r w:rsidRPr="00017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таблицей 1</w:t>
        </w:r>
      </w:hyperlink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7EB59912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E37C9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Расчет базовой ставки платы за размещение НТО.</w:t>
      </w:r>
    </w:p>
    <w:p w14:paraId="776ED163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Величина базовой ставки рассчитывается по формуле:</w:t>
      </w:r>
    </w:p>
    <w:p w14:paraId="7163CC15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92B0E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 = </w:t>
      </w:r>
      <w:proofErr w:type="spellStart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</w:t>
      </w:r>
      <w:proofErr w:type="spellEnd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Kинф</w:t>
      </w:r>
      <w:proofErr w:type="spellEnd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B158171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39F39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</w:t>
      </w:r>
      <w:proofErr w:type="spellEnd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средний </w:t>
      </w:r>
      <w:hyperlink r:id="rId4" w:history="1">
        <w:r w:rsidRPr="00017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уровень</w:t>
        </w:r>
      </w:hyperlink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одного квадратного метра площади земельного участка для размещения НТО в городском поселения Лянтор, утвержденный муниципальным правовым актом Администрации городского поселения Лянтор;</w:t>
      </w:r>
    </w:p>
    <w:p w14:paraId="62D01902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C509E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Kинф</w:t>
      </w:r>
      <w:proofErr w:type="spellEnd"/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индекс потребительских цен на товары и услуги, характеризующий уровень инфляции в Российской Федерации, одобренных прогнозом социально – экономического развития Российской Федерации применимый к расчетному периоду. </w:t>
      </w:r>
    </w:p>
    <w:p w14:paraId="448DB702" w14:textId="77777777" w:rsidR="000177B6" w:rsidRPr="000177B6" w:rsidRDefault="000177B6" w:rsidP="000177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177B6">
        <w:rPr>
          <w:rFonts w:ascii="Times New Roman" w:eastAsia="Times New Roman" w:hAnsi="Times New Roman" w:cs="Times New Roman"/>
          <w:lang w:eastAsia="ru-RU"/>
        </w:rPr>
        <w:t>Таблица 1</w:t>
      </w:r>
    </w:p>
    <w:p w14:paraId="0BB29A00" w14:textId="77777777" w:rsidR="000177B6" w:rsidRPr="000177B6" w:rsidRDefault="000177B6" w:rsidP="000177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996"/>
      </w:tblGrid>
      <w:tr w:rsidR="000177B6" w:rsidRPr="000177B6" w14:paraId="484B06F4" w14:textId="77777777" w:rsidTr="00901195">
        <w:tc>
          <w:tcPr>
            <w:tcW w:w="7427" w:type="dxa"/>
          </w:tcPr>
          <w:p w14:paraId="5DCAB668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Специализация (тип) нестационарного торгового объекта</w:t>
            </w:r>
          </w:p>
        </w:tc>
        <w:tc>
          <w:tcPr>
            <w:tcW w:w="1996" w:type="dxa"/>
          </w:tcPr>
          <w:p w14:paraId="44C4ADC4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Значение коэффициента </w:t>
            </w:r>
            <w:proofErr w:type="spellStart"/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Ксн</w:t>
            </w:r>
            <w:proofErr w:type="spellEnd"/>
          </w:p>
        </w:tc>
      </w:tr>
      <w:tr w:rsidR="000177B6" w:rsidRPr="000177B6" w14:paraId="60AFCFCE" w14:textId="77777777" w:rsidTr="00901195">
        <w:tc>
          <w:tcPr>
            <w:tcW w:w="7427" w:type="dxa"/>
          </w:tcPr>
          <w:p w14:paraId="015694D0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Специализированные нестационарные торговые объекты ("Периодическая печать", «Религиозного и культового назначения»; «Сувенирная продукция, изделия народных художественных промыслов»)</w:t>
            </w:r>
          </w:p>
        </w:tc>
        <w:tc>
          <w:tcPr>
            <w:tcW w:w="1996" w:type="dxa"/>
          </w:tcPr>
          <w:p w14:paraId="71979EB1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0177B6" w:rsidRPr="000177B6" w14:paraId="520253EA" w14:textId="77777777" w:rsidTr="00901195">
        <w:tc>
          <w:tcPr>
            <w:tcW w:w="7427" w:type="dxa"/>
          </w:tcPr>
          <w:p w14:paraId="53C3FF9B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Специализированные нестационарные торговые объекты по реализации продукции местных производителей (КФХ)</w:t>
            </w:r>
          </w:p>
          <w:p w14:paraId="2131BB1F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("Хлеб", "Мясо", "Молоко" и другое)</w:t>
            </w:r>
          </w:p>
        </w:tc>
        <w:tc>
          <w:tcPr>
            <w:tcW w:w="1996" w:type="dxa"/>
          </w:tcPr>
          <w:p w14:paraId="0BE457A0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0177B6" w:rsidRPr="000177B6" w14:paraId="39E2453A" w14:textId="77777777" w:rsidTr="00901195">
        <w:tc>
          <w:tcPr>
            <w:tcW w:w="7427" w:type="dxa"/>
          </w:tcPr>
          <w:p w14:paraId="3E5A1A17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Специализированные нестационарные торговые объекты по реализации самостоятельно произведёнными товарами (продукция собственного производства) субъектами малого и среднего предпринимательства, и физическими лицами, не являющимися индивидуальными предпринимателями и применяющими специальный налоговый режим «Налог на профессиональный доход» (самозанятыми гражданами)</w:t>
            </w:r>
            <w:r w:rsidRPr="000177B6">
              <w:rPr>
                <w:rFonts w:ascii="stk" w:eastAsia="Times New Roman" w:hAnsi="stk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6" w:type="dxa"/>
          </w:tcPr>
          <w:p w14:paraId="21A7B548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0177B6" w:rsidRPr="000177B6" w14:paraId="1248969C" w14:textId="77777777" w:rsidTr="00901195">
        <w:tc>
          <w:tcPr>
            <w:tcW w:w="7427" w:type="dxa"/>
          </w:tcPr>
          <w:p w14:paraId="38869325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Иная специализация и (или) тип нестационарного торгового объекта</w:t>
            </w:r>
          </w:p>
        </w:tc>
        <w:tc>
          <w:tcPr>
            <w:tcW w:w="1996" w:type="dxa"/>
          </w:tcPr>
          <w:p w14:paraId="1DC7BA73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</w:t>
            </w:r>
          </w:p>
        </w:tc>
      </w:tr>
    </w:tbl>
    <w:p w14:paraId="05C6A76E" w14:textId="77777777" w:rsidR="000177B6" w:rsidRPr="000177B6" w:rsidRDefault="000177B6" w:rsidP="000177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11E8C0" w14:textId="77777777" w:rsidR="000177B6" w:rsidRPr="000177B6" w:rsidRDefault="000177B6" w:rsidP="000177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177B6">
        <w:rPr>
          <w:rFonts w:ascii="Times New Roman" w:eastAsia="Times New Roman" w:hAnsi="Times New Roman" w:cs="Times New Roman"/>
          <w:lang w:eastAsia="ru-RU"/>
        </w:rPr>
        <w:t>Таблица 2</w:t>
      </w:r>
    </w:p>
    <w:p w14:paraId="171AD3A9" w14:textId="77777777" w:rsidR="000177B6" w:rsidRPr="000177B6" w:rsidRDefault="000177B6" w:rsidP="000177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996"/>
      </w:tblGrid>
      <w:tr w:rsidR="000177B6" w:rsidRPr="000177B6" w14:paraId="56CB63B0" w14:textId="77777777" w:rsidTr="00901195">
        <w:tc>
          <w:tcPr>
            <w:tcW w:w="7427" w:type="dxa"/>
          </w:tcPr>
          <w:p w14:paraId="7B36BFED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местоположения нестационарного торгового объекта</w:t>
            </w:r>
          </w:p>
        </w:tc>
        <w:tc>
          <w:tcPr>
            <w:tcW w:w="1996" w:type="dxa"/>
          </w:tcPr>
          <w:p w14:paraId="7E6DD683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Значение коэффициента </w:t>
            </w:r>
            <w:proofErr w:type="spellStart"/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Ктр</w:t>
            </w:r>
            <w:proofErr w:type="spellEnd"/>
          </w:p>
        </w:tc>
      </w:tr>
      <w:tr w:rsidR="000177B6" w:rsidRPr="000177B6" w14:paraId="74600663" w14:textId="77777777" w:rsidTr="00901195">
        <w:tc>
          <w:tcPr>
            <w:tcW w:w="7427" w:type="dxa"/>
            <w:vAlign w:val="center"/>
          </w:tcPr>
          <w:p w14:paraId="53BC39C4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Магистральные улицы общегородского значения</w:t>
            </w:r>
          </w:p>
          <w:p w14:paraId="77010471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(зона "интенсивной торговли")</w:t>
            </w:r>
          </w:p>
        </w:tc>
        <w:tc>
          <w:tcPr>
            <w:tcW w:w="1996" w:type="dxa"/>
          </w:tcPr>
          <w:p w14:paraId="7D1466FF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  <w:p w14:paraId="12C03FE6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77B6" w:rsidRPr="000177B6" w14:paraId="5D4829F4" w14:textId="77777777" w:rsidTr="00901195">
        <w:tc>
          <w:tcPr>
            <w:tcW w:w="7427" w:type="dxa"/>
            <w:vAlign w:val="center"/>
          </w:tcPr>
          <w:p w14:paraId="22E1E7C5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территории (в том числе межквартальные проезды)</w:t>
            </w:r>
          </w:p>
          <w:p w14:paraId="4F85484F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(зона "спокойной торговли")</w:t>
            </w:r>
          </w:p>
        </w:tc>
        <w:tc>
          <w:tcPr>
            <w:tcW w:w="1996" w:type="dxa"/>
          </w:tcPr>
          <w:p w14:paraId="4733CD13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0,35</w:t>
            </w:r>
          </w:p>
          <w:p w14:paraId="294F2B98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47E5746" w14:textId="77777777" w:rsidR="000177B6" w:rsidRPr="000177B6" w:rsidRDefault="000177B6" w:rsidP="000177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E6E5E7" w14:textId="77777777" w:rsidR="000177B6" w:rsidRPr="000177B6" w:rsidRDefault="000177B6" w:rsidP="000177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177B6">
        <w:rPr>
          <w:rFonts w:ascii="Times New Roman" w:eastAsia="Times New Roman" w:hAnsi="Times New Roman" w:cs="Times New Roman"/>
          <w:lang w:eastAsia="ru-RU"/>
        </w:rPr>
        <w:t>Таблица 3</w:t>
      </w:r>
    </w:p>
    <w:p w14:paraId="4E0EC814" w14:textId="77777777" w:rsidR="000177B6" w:rsidRPr="000177B6" w:rsidRDefault="000177B6" w:rsidP="000177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996"/>
      </w:tblGrid>
      <w:tr w:rsidR="000177B6" w:rsidRPr="000177B6" w14:paraId="51157609" w14:textId="77777777" w:rsidTr="00901195">
        <w:tc>
          <w:tcPr>
            <w:tcW w:w="7427" w:type="dxa"/>
          </w:tcPr>
          <w:p w14:paraId="281E762B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занимаемой площади нестационарного торгового объекта</w:t>
            </w:r>
          </w:p>
        </w:tc>
        <w:tc>
          <w:tcPr>
            <w:tcW w:w="1996" w:type="dxa"/>
          </w:tcPr>
          <w:p w14:paraId="33A80D5D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Значение коэффициента </w:t>
            </w:r>
            <w:proofErr w:type="spellStart"/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Кпл</w:t>
            </w:r>
            <w:proofErr w:type="spellEnd"/>
          </w:p>
        </w:tc>
      </w:tr>
      <w:tr w:rsidR="000177B6" w:rsidRPr="000177B6" w14:paraId="397126A9" w14:textId="77777777" w:rsidTr="00901195">
        <w:tc>
          <w:tcPr>
            <w:tcW w:w="7427" w:type="dxa"/>
            <w:vAlign w:val="center"/>
          </w:tcPr>
          <w:p w14:paraId="3F5E1B86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места размещения нестационарного торгового объекта более 500 м</w:t>
            </w:r>
            <w:r w:rsidRPr="0001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</w:tcPr>
          <w:p w14:paraId="1852BEDF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</w:tr>
      <w:tr w:rsidR="000177B6" w:rsidRPr="000177B6" w14:paraId="2890AFEC" w14:textId="77777777" w:rsidTr="00901195">
        <w:tc>
          <w:tcPr>
            <w:tcW w:w="7427" w:type="dxa"/>
            <w:vAlign w:val="center"/>
          </w:tcPr>
          <w:p w14:paraId="44E4FD55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места размещения нестационарного торгового объекта до 500 м2</w:t>
            </w:r>
          </w:p>
        </w:tc>
        <w:tc>
          <w:tcPr>
            <w:tcW w:w="1996" w:type="dxa"/>
          </w:tcPr>
          <w:p w14:paraId="1FD77ADA" w14:textId="77777777" w:rsidR="000177B6" w:rsidRPr="000177B6" w:rsidRDefault="000177B6" w:rsidP="00017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14:paraId="51B9C973" w14:textId="77777777" w:rsidR="000177B6" w:rsidRPr="000177B6" w:rsidRDefault="000177B6" w:rsidP="000177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721D03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Начальная цена предмета аукциона рассчитывается по формуле, указанной в </w:t>
      </w:r>
      <w:hyperlink w:anchor="P681" w:history="1">
        <w:r w:rsidRPr="00017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37CFECEF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Цена договора, заключаемого по результатам аукциона, определяется в соответствии с предложением победителя аукциона.</w:t>
      </w:r>
    </w:p>
    <w:p w14:paraId="3EC1556E" w14:textId="77777777" w:rsidR="000177B6" w:rsidRPr="000177B6" w:rsidRDefault="000177B6" w:rsidP="00017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Оплата цены по договору осуществляется в соответствии с условиями договора.</w:t>
      </w:r>
    </w:p>
    <w:p w14:paraId="508FAB16" w14:textId="77777777" w:rsidR="00065490" w:rsidRDefault="00065490"/>
    <w:sectPr w:rsidR="0006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77"/>
    <w:rsid w:val="000177B6"/>
    <w:rsid w:val="00065490"/>
    <w:rsid w:val="00A2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94A05-E748-42A2-BE56-59FE319F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E5947FC935A5A38A2C0B3A4CBDDB7DAFBF230674CBF578DB095E1CE34509D93F33AC4A3C8E6848B76E29E70D4745D4B324D132497BBFC461F58EB3wEB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2024-02-19T09:27:00Z</dcterms:created>
  <dcterms:modified xsi:type="dcterms:W3CDTF">2024-02-19T09:27:00Z</dcterms:modified>
</cp:coreProperties>
</file>