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82" w:rsidRDefault="00406B82" w:rsidP="00406B82">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406B82">
        <w:rPr>
          <w:rFonts w:ascii="Times New Roman" w:hAnsi="Times New Roman" w:cs="Times New Roman"/>
          <w:color w:val="000000"/>
          <w:sz w:val="28"/>
          <w:szCs w:val="28"/>
        </w:rPr>
        <w:t>амятк</w:t>
      </w:r>
      <w:r w:rsidR="00A85FFC">
        <w:rPr>
          <w:rFonts w:ascii="Times New Roman" w:hAnsi="Times New Roman" w:cs="Times New Roman"/>
          <w:color w:val="000000"/>
          <w:sz w:val="28"/>
          <w:szCs w:val="28"/>
        </w:rPr>
        <w:t>а</w:t>
      </w:r>
    </w:p>
    <w:p w:rsidR="00406B82" w:rsidRPr="00406B82" w:rsidRDefault="00BC2FED" w:rsidP="00406B82">
      <w:pPr>
        <w:pStyle w:val="a5"/>
        <w:jc w:val="center"/>
        <w:rPr>
          <w:rFonts w:ascii="Times New Roman" w:hAnsi="Times New Roman" w:cs="Times New Roman"/>
          <w:sz w:val="28"/>
          <w:szCs w:val="28"/>
        </w:rPr>
      </w:pPr>
      <w:r>
        <w:rPr>
          <w:rFonts w:ascii="Times New Roman" w:hAnsi="Times New Roman" w:cs="Times New Roman"/>
          <w:color w:val="000000"/>
          <w:sz w:val="28"/>
          <w:szCs w:val="28"/>
        </w:rPr>
        <w:t>«О</w:t>
      </w:r>
      <w:r w:rsidR="00406B82" w:rsidRPr="00406B82">
        <w:rPr>
          <w:rFonts w:ascii="Times New Roman" w:hAnsi="Times New Roman" w:cs="Times New Roman"/>
          <w:color w:val="000000"/>
          <w:sz w:val="28"/>
          <w:szCs w:val="28"/>
        </w:rPr>
        <w:t xml:space="preserve"> профилактике нарушений </w:t>
      </w:r>
      <w:r w:rsidR="00406B82">
        <w:rPr>
          <w:rFonts w:ascii="Times New Roman" w:hAnsi="Times New Roman" w:cs="Times New Roman"/>
          <w:color w:val="000000"/>
          <w:sz w:val="28"/>
          <w:szCs w:val="28"/>
        </w:rPr>
        <w:t xml:space="preserve">по организации и </w:t>
      </w:r>
      <w:r w:rsidR="00406B82" w:rsidRPr="00406B82">
        <w:rPr>
          <w:rFonts w:ascii="Times New Roman" w:hAnsi="Times New Roman" w:cs="Times New Roman"/>
          <w:color w:val="000000"/>
          <w:sz w:val="28"/>
          <w:szCs w:val="28"/>
        </w:rPr>
        <w:t>проведени</w:t>
      </w:r>
      <w:r w:rsidR="00406B82">
        <w:rPr>
          <w:rFonts w:ascii="Times New Roman" w:hAnsi="Times New Roman" w:cs="Times New Roman"/>
          <w:color w:val="000000"/>
          <w:sz w:val="28"/>
          <w:szCs w:val="28"/>
        </w:rPr>
        <w:t>ю</w:t>
      </w:r>
      <w:r w:rsidR="00406B82" w:rsidRPr="00406B82">
        <w:rPr>
          <w:rFonts w:ascii="Times New Roman" w:hAnsi="Times New Roman" w:cs="Times New Roman"/>
          <w:color w:val="000000"/>
          <w:sz w:val="28"/>
          <w:szCs w:val="28"/>
        </w:rPr>
        <w:t xml:space="preserve"> азартных игр в букмекерских конторах и тотализаторах</w:t>
      </w:r>
      <w:r>
        <w:rPr>
          <w:rFonts w:ascii="Times New Roman" w:hAnsi="Times New Roman" w:cs="Times New Roman"/>
          <w:color w:val="000000"/>
          <w:sz w:val="28"/>
          <w:szCs w:val="28"/>
        </w:rPr>
        <w:t>»</w:t>
      </w:r>
    </w:p>
    <w:p w:rsidR="00403E9D" w:rsidRPr="00406B82" w:rsidRDefault="00403E9D">
      <w:pPr>
        <w:rPr>
          <w:rFonts w:ascii="Times New Roman" w:hAnsi="Times New Roman" w:cs="Times New Roman"/>
          <w:sz w:val="28"/>
          <w:szCs w:val="28"/>
        </w:rPr>
      </w:pPr>
    </w:p>
    <w:tbl>
      <w:tblPr>
        <w:tblStyle w:val="a3"/>
        <w:tblW w:w="16161" w:type="dxa"/>
        <w:tblInd w:w="-601" w:type="dxa"/>
        <w:tblLayout w:type="fixed"/>
        <w:tblLook w:val="04A0" w:firstRow="1" w:lastRow="0" w:firstColumn="1" w:lastColumn="0" w:noHBand="0" w:noVBand="1"/>
      </w:tblPr>
      <w:tblGrid>
        <w:gridCol w:w="2694"/>
        <w:gridCol w:w="7371"/>
        <w:gridCol w:w="1701"/>
        <w:gridCol w:w="2545"/>
        <w:gridCol w:w="1850"/>
      </w:tblGrid>
      <w:tr w:rsidR="0044792E" w:rsidRPr="0044792E" w:rsidTr="00E86202">
        <w:tc>
          <w:tcPr>
            <w:tcW w:w="2694" w:type="dxa"/>
          </w:tcPr>
          <w:p w:rsidR="00406B82" w:rsidRDefault="00406B82" w:rsidP="0044792E">
            <w:pPr>
              <w:pStyle w:val="a5"/>
              <w:jc w:val="center"/>
              <w:rPr>
                <w:rFonts w:ascii="Times New Roman" w:hAnsi="Times New Roman" w:cs="Times New Roman"/>
                <w:sz w:val="24"/>
                <w:szCs w:val="24"/>
              </w:rPr>
            </w:pPr>
            <w:r w:rsidRPr="0044792E">
              <w:rPr>
                <w:rFonts w:ascii="Times New Roman" w:hAnsi="Times New Roman" w:cs="Times New Roman"/>
                <w:sz w:val="24"/>
                <w:szCs w:val="24"/>
              </w:rPr>
              <w:t>Норма пункта 4 Положения</w:t>
            </w:r>
            <w:r w:rsidR="006D7CFE" w:rsidRPr="0044792E">
              <w:rPr>
                <w:rFonts w:ascii="Times New Roman" w:hAnsi="Times New Roman" w:cs="Times New Roman"/>
                <w:sz w:val="24"/>
                <w:szCs w:val="24"/>
              </w:rPr>
              <w:t xml:space="preserve"> </w:t>
            </w:r>
            <w:r w:rsidR="006D7CFE" w:rsidRPr="0044792E">
              <w:rPr>
                <w:rFonts w:ascii="Times New Roman" w:eastAsia="Times New Roman" w:hAnsi="Times New Roman" w:cs="Times New Roman"/>
                <w:bCs/>
                <w:kern w:val="36"/>
                <w:sz w:val="24"/>
                <w:szCs w:val="24"/>
              </w:rPr>
              <w:t>о лицензировании деятельности по организации и проведению азартных игр в букмекерских конторах и тотализаторах</w:t>
            </w:r>
            <w:r w:rsidR="0044792E">
              <w:rPr>
                <w:rFonts w:ascii="Times New Roman" w:eastAsia="Times New Roman" w:hAnsi="Times New Roman" w:cs="Times New Roman"/>
                <w:bCs/>
                <w:kern w:val="36"/>
                <w:sz w:val="24"/>
                <w:szCs w:val="24"/>
              </w:rPr>
              <w:t xml:space="preserve">, </w:t>
            </w:r>
            <w:r w:rsidR="0044792E" w:rsidRPr="0044792E">
              <w:rPr>
                <w:rFonts w:ascii="Times New Roman" w:eastAsia="Times New Roman" w:hAnsi="Times New Roman" w:cs="Times New Roman"/>
                <w:bCs/>
                <w:kern w:val="36"/>
                <w:sz w:val="24"/>
                <w:szCs w:val="24"/>
              </w:rPr>
              <w:t xml:space="preserve">утвержденного </w:t>
            </w:r>
            <w:r w:rsidR="0044792E" w:rsidRPr="0044792E">
              <w:rPr>
                <w:rFonts w:ascii="Times New Roman" w:hAnsi="Times New Roman" w:cs="Times New Roman"/>
                <w:sz w:val="24"/>
                <w:szCs w:val="24"/>
              </w:rPr>
              <w:t>Постановлением Правительства РФ от 26.12.2011 №</w:t>
            </w:r>
            <w:r w:rsidR="0044792E">
              <w:rPr>
                <w:rFonts w:ascii="Times New Roman" w:hAnsi="Times New Roman" w:cs="Times New Roman"/>
                <w:sz w:val="24"/>
                <w:szCs w:val="24"/>
              </w:rPr>
              <w:t> </w:t>
            </w:r>
            <w:r w:rsidR="0044792E" w:rsidRPr="0044792E">
              <w:rPr>
                <w:rFonts w:ascii="Times New Roman" w:hAnsi="Times New Roman" w:cs="Times New Roman"/>
                <w:sz w:val="24"/>
                <w:szCs w:val="24"/>
              </w:rPr>
              <w:t>1130 «О лицензировании деятельности по организации и проведению азартных игр в букмекерских конторах и тотализаторах»</w:t>
            </w:r>
          </w:p>
          <w:p w:rsidR="00533B5C" w:rsidRPr="0044792E" w:rsidRDefault="00533B5C" w:rsidP="0044792E">
            <w:pPr>
              <w:pStyle w:val="a5"/>
              <w:jc w:val="center"/>
              <w:rPr>
                <w:rFonts w:ascii="Times New Roman" w:hAnsi="Times New Roman" w:cs="Times New Roman"/>
                <w:sz w:val="24"/>
                <w:szCs w:val="24"/>
              </w:rPr>
            </w:pPr>
          </w:p>
        </w:tc>
        <w:tc>
          <w:tcPr>
            <w:tcW w:w="7371" w:type="dxa"/>
          </w:tcPr>
          <w:p w:rsidR="00406B82" w:rsidRPr="0044792E" w:rsidRDefault="00406B82" w:rsidP="006D7CFE">
            <w:pPr>
              <w:jc w:val="center"/>
              <w:rPr>
                <w:rFonts w:ascii="Times New Roman" w:hAnsi="Times New Roman" w:cs="Times New Roman"/>
                <w:sz w:val="24"/>
                <w:szCs w:val="24"/>
              </w:rPr>
            </w:pPr>
            <w:r w:rsidRPr="0044792E">
              <w:rPr>
                <w:rFonts w:ascii="Times New Roman" w:hAnsi="Times New Roman" w:cs="Times New Roman"/>
                <w:sz w:val="24"/>
                <w:szCs w:val="24"/>
              </w:rPr>
              <w:t xml:space="preserve">Требование </w:t>
            </w:r>
            <w:r w:rsidR="006D7CFE" w:rsidRPr="0044792E">
              <w:rPr>
                <w:rFonts w:ascii="Times New Roman" w:hAnsi="Times New Roman" w:cs="Times New Roman"/>
                <w:sz w:val="24"/>
                <w:szCs w:val="24"/>
              </w:rPr>
              <w:t>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tc>
        <w:tc>
          <w:tcPr>
            <w:tcW w:w="6096" w:type="dxa"/>
            <w:gridSpan w:val="3"/>
          </w:tcPr>
          <w:p w:rsidR="00406B82" w:rsidRPr="0044792E" w:rsidRDefault="006D7CFE" w:rsidP="006D7CFE">
            <w:pPr>
              <w:jc w:val="center"/>
              <w:rPr>
                <w:rFonts w:ascii="Times New Roman" w:hAnsi="Times New Roman" w:cs="Times New Roman"/>
                <w:sz w:val="24"/>
                <w:szCs w:val="24"/>
              </w:rPr>
            </w:pPr>
            <w:r w:rsidRPr="0044792E">
              <w:rPr>
                <w:rFonts w:ascii="Times New Roman" w:hAnsi="Times New Roman" w:cs="Times New Roman"/>
                <w:sz w:val="24"/>
                <w:szCs w:val="24"/>
              </w:rPr>
              <w:t>Административная о</w:t>
            </w:r>
            <w:r w:rsidR="00406B82" w:rsidRPr="0044792E">
              <w:rPr>
                <w:rFonts w:ascii="Times New Roman" w:hAnsi="Times New Roman" w:cs="Times New Roman"/>
                <w:sz w:val="24"/>
                <w:szCs w:val="24"/>
              </w:rPr>
              <w:t>тветственность</w:t>
            </w:r>
            <w:r w:rsidRPr="0044792E">
              <w:rPr>
                <w:rFonts w:ascii="Times New Roman" w:hAnsi="Times New Roman" w:cs="Times New Roman"/>
                <w:sz w:val="24"/>
                <w:szCs w:val="24"/>
              </w:rPr>
              <w:t>, предусмотренная Кодексом Российской Федерации об административных правонарушениях,</w:t>
            </w:r>
            <w:r w:rsidR="00406B82" w:rsidRPr="0044792E">
              <w:rPr>
                <w:rFonts w:ascii="Times New Roman" w:hAnsi="Times New Roman" w:cs="Times New Roman"/>
                <w:sz w:val="24"/>
                <w:szCs w:val="24"/>
              </w:rPr>
              <w:t xml:space="preserve"> за нарушение</w:t>
            </w:r>
            <w:r w:rsidRPr="0044792E">
              <w:rPr>
                <w:rFonts w:ascii="Times New Roman" w:hAnsi="Times New Roman" w:cs="Times New Roman"/>
                <w:sz w:val="24"/>
                <w:szCs w:val="24"/>
              </w:rPr>
              <w:t xml:space="preserve"> Федерального закона от 29.12.2006 № 244-ФЗ</w:t>
            </w:r>
          </w:p>
        </w:tc>
      </w:tr>
      <w:tr w:rsidR="0044792E" w:rsidRPr="0044792E" w:rsidTr="00E86202">
        <w:tc>
          <w:tcPr>
            <w:tcW w:w="2694" w:type="dxa"/>
          </w:tcPr>
          <w:p w:rsidR="00406B82" w:rsidRPr="00860679" w:rsidRDefault="00406B82" w:rsidP="00406B82">
            <w:pPr>
              <w:jc w:val="center"/>
              <w:rPr>
                <w:rFonts w:ascii="Times New Roman" w:hAnsi="Times New Roman" w:cs="Times New Roman"/>
                <w:b/>
                <w:sz w:val="24"/>
                <w:szCs w:val="24"/>
                <w:u w:val="single"/>
                <w:shd w:val="clear" w:color="auto" w:fill="FFFFFF"/>
              </w:rPr>
            </w:pPr>
            <w:r w:rsidRPr="00860679">
              <w:rPr>
                <w:rFonts w:ascii="Times New Roman" w:hAnsi="Times New Roman" w:cs="Times New Roman"/>
                <w:b/>
                <w:sz w:val="24"/>
                <w:szCs w:val="24"/>
                <w:u w:val="single"/>
                <w:shd w:val="clear" w:color="auto" w:fill="FFFFFF"/>
              </w:rPr>
              <w:t>Подпункт «а»</w:t>
            </w:r>
          </w:p>
          <w:p w:rsidR="00406B82" w:rsidRPr="0044792E" w:rsidRDefault="00406B82" w:rsidP="00406B82">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Наличие у соискателя лицензии условий для соблюдения требований, установленных </w:t>
            </w:r>
            <w:hyperlink r:id="rId9" w:anchor="dst100072" w:history="1">
              <w:r w:rsidRPr="0044792E">
                <w:rPr>
                  <w:rStyle w:val="a4"/>
                  <w:rFonts w:ascii="Times New Roman" w:hAnsi="Times New Roman" w:cs="Times New Roman"/>
                  <w:color w:val="auto"/>
                  <w:sz w:val="24"/>
                  <w:szCs w:val="24"/>
                  <w:u w:val="none"/>
                  <w:shd w:val="clear" w:color="auto" w:fill="FFFFFF"/>
                </w:rPr>
                <w:t>частями 1</w:t>
              </w:r>
            </w:hyperlink>
            <w:r w:rsidRPr="0044792E">
              <w:rPr>
                <w:rFonts w:ascii="Times New Roman" w:hAnsi="Times New Roman" w:cs="Times New Roman"/>
                <w:sz w:val="24"/>
                <w:szCs w:val="24"/>
                <w:shd w:val="clear" w:color="auto" w:fill="FFFFFF"/>
              </w:rPr>
              <w:t>, </w:t>
            </w:r>
            <w:hyperlink r:id="rId10" w:anchor="dst100074" w:history="1">
              <w:r w:rsidRPr="0044792E">
                <w:rPr>
                  <w:rStyle w:val="a4"/>
                  <w:rFonts w:ascii="Times New Roman" w:hAnsi="Times New Roman" w:cs="Times New Roman"/>
                  <w:color w:val="auto"/>
                  <w:sz w:val="24"/>
                  <w:szCs w:val="24"/>
                  <w:u w:val="none"/>
                  <w:shd w:val="clear" w:color="auto" w:fill="FFFFFF"/>
                </w:rPr>
                <w:t>3</w:t>
              </w:r>
            </w:hyperlink>
            <w:r w:rsidRPr="0044792E">
              <w:rPr>
                <w:rFonts w:ascii="Times New Roman" w:hAnsi="Times New Roman" w:cs="Times New Roman"/>
                <w:sz w:val="24"/>
                <w:szCs w:val="24"/>
                <w:shd w:val="clear" w:color="auto" w:fill="FFFFFF"/>
              </w:rPr>
              <w:t> и </w:t>
            </w:r>
            <w:hyperlink r:id="rId11" w:anchor="dst64" w:history="1">
              <w:r w:rsidRPr="0044792E">
                <w:rPr>
                  <w:rStyle w:val="a4"/>
                  <w:rFonts w:ascii="Times New Roman" w:hAnsi="Times New Roman" w:cs="Times New Roman"/>
                  <w:color w:val="auto"/>
                  <w:sz w:val="24"/>
                  <w:szCs w:val="24"/>
                  <w:u w:val="none"/>
                  <w:shd w:val="clear" w:color="auto" w:fill="FFFFFF"/>
                </w:rPr>
                <w:t>6 статьи 8</w:t>
              </w:r>
            </w:hyperlink>
            <w:r w:rsidRPr="0044792E">
              <w:rPr>
                <w:rFonts w:ascii="Times New Roman" w:hAnsi="Times New Roman" w:cs="Times New Roman"/>
                <w:sz w:val="24"/>
                <w:szCs w:val="24"/>
                <w:shd w:val="clear" w:color="auto" w:fill="FFFFFF"/>
              </w:rPr>
              <w:t> и </w:t>
            </w:r>
            <w:hyperlink r:id="rId12" w:anchor="dst17" w:history="1">
              <w:r w:rsidRPr="0044792E">
                <w:rPr>
                  <w:rStyle w:val="a4"/>
                  <w:rFonts w:ascii="Times New Roman" w:hAnsi="Times New Roman" w:cs="Times New Roman"/>
                  <w:color w:val="auto"/>
                  <w:sz w:val="24"/>
                  <w:szCs w:val="24"/>
                  <w:u w:val="none"/>
                  <w:shd w:val="clear" w:color="auto" w:fill="FFFFFF"/>
                </w:rPr>
                <w:t>частью 3 статьи 14</w:t>
              </w:r>
            </w:hyperlink>
            <w:r w:rsidRPr="0044792E">
              <w:rPr>
                <w:rStyle w:val="a4"/>
                <w:rFonts w:ascii="Times New Roman" w:hAnsi="Times New Roman" w:cs="Times New Roman"/>
                <w:color w:val="auto"/>
                <w:sz w:val="24"/>
                <w:szCs w:val="24"/>
                <w:u w:val="none"/>
                <w:shd w:val="clear" w:color="auto" w:fill="FFFFFF"/>
              </w:rPr>
              <w:t xml:space="preserve"> </w:t>
            </w:r>
            <w:r w:rsidRPr="0044792E">
              <w:rPr>
                <w:rFonts w:ascii="Times New Roman" w:hAnsi="Times New Roman" w:cs="Times New Roman"/>
                <w:sz w:val="24"/>
                <w:szCs w:val="24"/>
                <w:shd w:val="clear" w:color="auto" w:fill="FFFFFF"/>
              </w:rPr>
              <w:t xml:space="preserve">Федерального закона </w:t>
            </w:r>
            <w:r w:rsidRPr="0044792E">
              <w:rPr>
                <w:rFonts w:ascii="Times New Roman" w:hAnsi="Times New Roman" w:cs="Times New Roman"/>
                <w:sz w:val="24"/>
                <w:szCs w:val="24"/>
              </w:rPr>
              <w:t>от 29.12.2006 № 244-ФЗ</w:t>
            </w:r>
            <w:r w:rsidRPr="0044792E">
              <w:rPr>
                <w:rFonts w:ascii="Times New Roman" w:hAnsi="Times New Roman" w:cs="Times New Roman"/>
                <w:sz w:val="24"/>
                <w:szCs w:val="24"/>
                <w:shd w:val="clear" w:color="auto" w:fill="FFFFFF"/>
              </w:rPr>
              <w:t xml:space="preserve">, по каждому адресу места осуществления лицензируемого вида </w:t>
            </w:r>
            <w:r w:rsidRPr="0044792E">
              <w:rPr>
                <w:rFonts w:ascii="Times New Roman" w:hAnsi="Times New Roman" w:cs="Times New Roman"/>
                <w:sz w:val="24"/>
                <w:szCs w:val="24"/>
                <w:shd w:val="clear" w:color="auto" w:fill="FFFFFF"/>
              </w:rPr>
              <w:lastRenderedPageBreak/>
              <w:t>деятельности, а также соблюдение лицензиатом указанных требований</w:t>
            </w:r>
            <w:r w:rsidR="00A3699D" w:rsidRPr="0044792E">
              <w:rPr>
                <w:rFonts w:ascii="Times New Roman" w:hAnsi="Times New Roman" w:cs="Times New Roman"/>
                <w:sz w:val="24"/>
                <w:szCs w:val="24"/>
                <w:shd w:val="clear" w:color="auto" w:fill="FFFFFF"/>
              </w:rPr>
              <w:t>.</w:t>
            </w:r>
          </w:p>
        </w:tc>
        <w:tc>
          <w:tcPr>
            <w:tcW w:w="7371" w:type="dxa"/>
          </w:tcPr>
          <w:p w:rsidR="00406B82" w:rsidRPr="00CD1DF2" w:rsidRDefault="00406B82" w:rsidP="00CD1DF2">
            <w:pPr>
              <w:pStyle w:val="a5"/>
              <w:ind w:firstLine="317"/>
              <w:jc w:val="both"/>
              <w:rPr>
                <w:rFonts w:ascii="Times New Roman" w:hAnsi="Times New Roman" w:cs="Times New Roman"/>
                <w:sz w:val="24"/>
                <w:szCs w:val="24"/>
                <w:shd w:val="clear" w:color="auto" w:fill="FFFFFF"/>
              </w:rPr>
            </w:pPr>
            <w:r w:rsidRPr="00CD1DF2">
              <w:rPr>
                <w:rFonts w:ascii="Times New Roman" w:hAnsi="Times New Roman" w:cs="Times New Roman"/>
                <w:sz w:val="24"/>
                <w:szCs w:val="24"/>
              </w:rPr>
              <w:lastRenderedPageBreak/>
              <w:t>1. </w:t>
            </w:r>
            <w:r w:rsidRPr="00CD1DF2">
              <w:rPr>
                <w:rFonts w:ascii="Times New Roman" w:hAnsi="Times New Roman" w:cs="Times New Roman"/>
                <w:sz w:val="24"/>
                <w:szCs w:val="24"/>
                <w:shd w:val="clear" w:color="auto" w:fill="FFFFFF"/>
              </w:rPr>
              <w:t>Игорное заведение должно быть разделено на зону обслуживания участников азартных игр и служебную зону игорного заведения.</w:t>
            </w:r>
          </w:p>
          <w:p w:rsidR="00406B82" w:rsidRPr="00CD1DF2" w:rsidRDefault="00406B82" w:rsidP="00CD1DF2">
            <w:pPr>
              <w:pStyle w:val="a5"/>
              <w:ind w:firstLine="317"/>
              <w:jc w:val="both"/>
              <w:rPr>
                <w:rFonts w:ascii="Times New Roman" w:hAnsi="Times New Roman" w:cs="Times New Roman"/>
                <w:sz w:val="24"/>
                <w:szCs w:val="24"/>
                <w:shd w:val="clear" w:color="auto" w:fill="FFFFFF"/>
              </w:rPr>
            </w:pPr>
            <w:r w:rsidRPr="00CD1DF2">
              <w:rPr>
                <w:rFonts w:ascii="Times New Roman" w:hAnsi="Times New Roman" w:cs="Times New Roman"/>
                <w:sz w:val="24"/>
                <w:szCs w:val="24"/>
              </w:rPr>
              <w:t>2. </w:t>
            </w:r>
            <w:r w:rsidRPr="00CD1DF2">
              <w:rPr>
                <w:rFonts w:ascii="Times New Roman" w:hAnsi="Times New Roman" w:cs="Times New Roman"/>
                <w:sz w:val="24"/>
                <w:szCs w:val="24"/>
                <w:shd w:val="clear" w:color="auto" w:fill="FFFFFF"/>
              </w:rPr>
              <w:t>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406B82" w:rsidRPr="00CD1DF2" w:rsidRDefault="00406B82" w:rsidP="00CD1DF2">
            <w:pPr>
              <w:pStyle w:val="a5"/>
              <w:ind w:firstLine="317"/>
              <w:jc w:val="both"/>
              <w:rPr>
                <w:rFonts w:ascii="Times New Roman" w:hAnsi="Times New Roman" w:cs="Times New Roman"/>
                <w:sz w:val="24"/>
                <w:szCs w:val="24"/>
                <w:shd w:val="clear" w:color="auto" w:fill="FFFFFF"/>
              </w:rPr>
            </w:pPr>
            <w:r w:rsidRPr="00CD1DF2">
              <w:rPr>
                <w:rFonts w:ascii="Times New Roman" w:hAnsi="Times New Roman" w:cs="Times New Roman"/>
                <w:sz w:val="24"/>
                <w:szCs w:val="24"/>
                <w:shd w:val="clear" w:color="auto" w:fill="FFFFFF"/>
              </w:rPr>
              <w:t>3.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406B82" w:rsidRPr="00CD1DF2" w:rsidRDefault="00406B82"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shd w:val="clear" w:color="auto" w:fill="FFFFFF"/>
              </w:rPr>
              <w:lastRenderedPageBreak/>
              <w:t>4. В букмекерских конторах, тотализаторах, их пунктах приема ставок, расположенных вне</w:t>
            </w:r>
            <w:bookmarkStart w:id="0" w:name="_GoBack"/>
            <w:bookmarkEnd w:id="0"/>
            <w:r w:rsidRPr="00CD1DF2">
              <w:rPr>
                <w:rFonts w:ascii="Times New Roman" w:hAnsi="Times New Roman" w:cs="Times New Roman"/>
                <w:sz w:val="24"/>
                <w:szCs w:val="24"/>
                <w:shd w:val="clear" w:color="auto" w:fill="FFFFFF"/>
              </w:rPr>
              <w:t xml:space="preserve"> игорных зон, не может осуществляться деятельность по организации и проведению азартных игр с использованием игровых автоматов и игровых столов.</w:t>
            </w:r>
          </w:p>
        </w:tc>
        <w:tc>
          <w:tcPr>
            <w:tcW w:w="1701" w:type="dxa"/>
          </w:tcPr>
          <w:p w:rsidR="00406B82" w:rsidRPr="0044792E" w:rsidRDefault="00406B82">
            <w:pPr>
              <w:rPr>
                <w:rFonts w:ascii="Times New Roman" w:hAnsi="Times New Roman" w:cs="Times New Roman"/>
                <w:sz w:val="24"/>
                <w:szCs w:val="24"/>
              </w:rPr>
            </w:pPr>
            <w:r w:rsidRPr="0044792E">
              <w:rPr>
                <w:rFonts w:ascii="Times New Roman" w:hAnsi="Times New Roman" w:cs="Times New Roman"/>
                <w:sz w:val="24"/>
                <w:szCs w:val="24"/>
              </w:rPr>
              <w:lastRenderedPageBreak/>
              <w:t>Часть 3 статьи 14.1.1. КоАП</w:t>
            </w:r>
          </w:p>
        </w:tc>
        <w:tc>
          <w:tcPr>
            <w:tcW w:w="2545" w:type="dxa"/>
          </w:tcPr>
          <w:p w:rsidR="00406B82" w:rsidRDefault="00406B82">
            <w:pPr>
              <w:rPr>
                <w:rFonts w:ascii="Times New Roman" w:hAnsi="Times New Roman" w:cs="Times New Roman"/>
                <w:sz w:val="24"/>
                <w:szCs w:val="24"/>
                <w:shd w:val="clear" w:color="auto" w:fill="FFFFFF"/>
              </w:rPr>
            </w:pPr>
            <w:r w:rsidRPr="0044792E">
              <w:rPr>
                <w:rFonts w:ascii="Times New Roman" w:hAnsi="Times New Roman" w:cs="Times New Roman"/>
                <w:sz w:val="24"/>
                <w:szCs w:val="24"/>
                <w:shd w:val="clear" w:color="auto" w:fill="FFFFFF"/>
              </w:rPr>
              <w:t xml:space="preserve">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w:t>
            </w:r>
            <w:r w:rsidRPr="0044792E">
              <w:rPr>
                <w:rFonts w:ascii="Times New Roman" w:hAnsi="Times New Roman" w:cs="Times New Roman"/>
                <w:sz w:val="24"/>
                <w:szCs w:val="24"/>
                <w:shd w:val="clear" w:color="auto" w:fill="FFFFFF"/>
              </w:rPr>
              <w:lastRenderedPageBreak/>
              <w:t>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p w:rsidR="00533B5C" w:rsidRPr="0044792E" w:rsidRDefault="00533B5C">
            <w:pPr>
              <w:rPr>
                <w:rFonts w:ascii="Times New Roman" w:hAnsi="Times New Roman" w:cs="Times New Roman"/>
                <w:sz w:val="24"/>
                <w:szCs w:val="24"/>
              </w:rPr>
            </w:pPr>
          </w:p>
        </w:tc>
        <w:tc>
          <w:tcPr>
            <w:tcW w:w="1850" w:type="dxa"/>
          </w:tcPr>
          <w:p w:rsidR="00406B82" w:rsidRPr="0044792E" w:rsidRDefault="00A85FFC">
            <w:pP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r w:rsidR="0044792E" w:rsidRPr="0044792E" w:rsidTr="00E86202">
        <w:trPr>
          <w:trHeight w:val="1440"/>
        </w:trPr>
        <w:tc>
          <w:tcPr>
            <w:tcW w:w="2694" w:type="dxa"/>
            <w:tcBorders>
              <w:bottom w:val="single" w:sz="4" w:space="0" w:color="auto"/>
            </w:tcBorders>
          </w:tcPr>
          <w:p w:rsidR="00406B82" w:rsidRPr="00860679" w:rsidRDefault="00406B82" w:rsidP="00406B82">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lastRenderedPageBreak/>
              <w:t>Подпункт</w:t>
            </w:r>
            <w:r w:rsidRPr="00860679">
              <w:rPr>
                <w:rFonts w:ascii="Times New Roman" w:eastAsia="Times New Roman" w:hAnsi="Times New Roman" w:cs="Times New Roman"/>
                <w:b/>
                <w:sz w:val="24"/>
                <w:szCs w:val="24"/>
                <w:u w:val="single"/>
              </w:rPr>
              <w:t xml:space="preserve"> «б»</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Соответствие стоимости чистых активов соискателя лицензии (лицензиата) требованиям </w:t>
            </w:r>
            <w:hyperlink r:id="rId13" w:anchor="dst100061" w:history="1">
              <w:r w:rsidRPr="0044792E">
                <w:rPr>
                  <w:rFonts w:ascii="Times New Roman" w:eastAsia="Times New Roman" w:hAnsi="Times New Roman" w:cs="Times New Roman"/>
                  <w:sz w:val="24"/>
                  <w:szCs w:val="24"/>
                </w:rPr>
                <w:t>части 6 статьи 6</w:t>
              </w:r>
            </w:hyperlink>
            <w:r w:rsidRPr="0044792E">
              <w:rPr>
                <w:rFonts w:ascii="Times New Roman" w:eastAsia="Times New Roman" w:hAnsi="Times New Roman" w:cs="Times New Roman"/>
                <w:sz w:val="24"/>
                <w:szCs w:val="24"/>
              </w:rPr>
              <w:t xml:space="preserve"> Федерального закона </w:t>
            </w:r>
            <w:r w:rsidRPr="0044792E">
              <w:rPr>
                <w:rFonts w:ascii="Times New Roman" w:hAnsi="Times New Roman" w:cs="Times New Roman"/>
                <w:sz w:val="24"/>
                <w:szCs w:val="24"/>
                <w:shd w:val="clear" w:color="auto" w:fill="FFFFFF"/>
              </w:rPr>
              <w:t xml:space="preserve">Федерального закона </w:t>
            </w:r>
            <w:r w:rsidRPr="0044792E">
              <w:rPr>
                <w:rFonts w:ascii="Times New Roman" w:hAnsi="Times New Roman" w:cs="Times New Roman"/>
                <w:sz w:val="24"/>
                <w:szCs w:val="24"/>
              </w:rPr>
              <w:t>от 29.12.2006 № 244-ФЗ</w:t>
            </w:r>
            <w:r w:rsidR="00A3699D" w:rsidRPr="0044792E">
              <w:rPr>
                <w:rFonts w:ascii="Times New Roman" w:hAnsi="Times New Roman" w:cs="Times New Roman"/>
                <w:sz w:val="24"/>
                <w:szCs w:val="24"/>
              </w:rPr>
              <w:t>.</w:t>
            </w:r>
          </w:p>
          <w:p w:rsidR="00406B82" w:rsidRPr="0044792E" w:rsidRDefault="00406B82" w:rsidP="00406B82">
            <w:pPr>
              <w:rPr>
                <w:rFonts w:ascii="Times New Roman" w:hAnsi="Times New Roman" w:cs="Times New Roman"/>
                <w:sz w:val="24"/>
                <w:szCs w:val="24"/>
              </w:rPr>
            </w:pPr>
          </w:p>
        </w:tc>
        <w:tc>
          <w:tcPr>
            <w:tcW w:w="7371" w:type="dxa"/>
            <w:tcBorders>
              <w:bottom w:val="single" w:sz="4" w:space="0" w:color="auto"/>
            </w:tcBorders>
          </w:tcPr>
          <w:p w:rsidR="0080210F" w:rsidRPr="0044792E" w:rsidRDefault="0080210F" w:rsidP="0080210F">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80210F" w:rsidRPr="0044792E" w:rsidRDefault="0080210F" w:rsidP="0080210F">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1) 600 миллионов рублей - для организаторов азартных игр в казино и залах игровых автоматов;</w:t>
            </w:r>
          </w:p>
          <w:p w:rsidR="0080210F" w:rsidRPr="0044792E" w:rsidRDefault="0080210F" w:rsidP="0080210F">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2) 1 миллиард рублей - для организаторов азартных игр в букмекерских конторах и тотализаторах.</w:t>
            </w:r>
          </w:p>
          <w:p w:rsidR="00406B82" w:rsidRPr="0044792E" w:rsidRDefault="00406B82">
            <w:pPr>
              <w:rPr>
                <w:rFonts w:ascii="Times New Roman" w:hAnsi="Times New Roman" w:cs="Times New Roman"/>
                <w:sz w:val="24"/>
                <w:szCs w:val="24"/>
              </w:rPr>
            </w:pPr>
          </w:p>
        </w:tc>
        <w:tc>
          <w:tcPr>
            <w:tcW w:w="1701" w:type="dxa"/>
            <w:tcBorders>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bottom w:val="single" w:sz="4" w:space="0" w:color="auto"/>
            </w:tcBorders>
          </w:tcPr>
          <w:p w:rsidR="00406B82" w:rsidRPr="0044792E" w:rsidRDefault="00406B82">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bottom w:val="single" w:sz="4" w:space="0" w:color="auto"/>
            </w:tcBorders>
          </w:tcPr>
          <w:p w:rsidR="00406B82" w:rsidRPr="0044792E" w:rsidRDefault="00A85FFC">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A85FFC" w:rsidRPr="0044792E" w:rsidTr="00E86202">
        <w:trPr>
          <w:trHeight w:val="1444"/>
        </w:trPr>
        <w:tc>
          <w:tcPr>
            <w:tcW w:w="2694" w:type="dxa"/>
            <w:tcBorders>
              <w:top w:val="single" w:sz="4" w:space="0" w:color="auto"/>
              <w:bottom w:val="single" w:sz="4" w:space="0" w:color="auto"/>
            </w:tcBorders>
          </w:tcPr>
          <w:p w:rsidR="00A85FFC" w:rsidRPr="00860679" w:rsidRDefault="00A85FFC" w:rsidP="00406B82">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«в»</w:t>
            </w:r>
          </w:p>
          <w:p w:rsidR="00A85FFC" w:rsidRPr="0044792E" w:rsidRDefault="00A85FFC" w:rsidP="00406B82">
            <w:pPr>
              <w:shd w:val="clear" w:color="auto" w:fill="FFFFFF"/>
              <w:spacing w:line="290" w:lineRule="atLeast"/>
              <w:jc w:val="both"/>
              <w:rPr>
                <w:rFonts w:ascii="Times New Roman" w:eastAsia="Times New Roman" w:hAnsi="Times New Roman" w:cs="Times New Roman"/>
                <w:sz w:val="24"/>
                <w:szCs w:val="24"/>
              </w:rPr>
            </w:pPr>
            <w:proofErr w:type="gramStart"/>
            <w:r w:rsidRPr="0044792E">
              <w:rPr>
                <w:rFonts w:ascii="Times New Roman" w:eastAsia="Times New Roman" w:hAnsi="Times New Roman" w:cs="Times New Roman"/>
                <w:sz w:val="24"/>
                <w:szCs w:val="24"/>
              </w:rPr>
              <w:t>Наличие у соискателя лицензии (лицензиата) необходимых для осуществления лицензируемого вида деятельности и принадлежащих ему на праве собственности или ином законном основании зданий, строений, сооружений (единой обособленной части здания, строения и сооружения), а также наличие специального оборудования, позволяющего обеспечить учет, обработку ставок, интерактивных ставок, фиксирование результатов азартных игр и расчет сумм выигрышей, подлежащих выплате.</w:t>
            </w:r>
            <w:proofErr w:type="gramEnd"/>
          </w:p>
          <w:p w:rsidR="00A85FFC" w:rsidRPr="0044792E" w:rsidRDefault="00A85FFC" w:rsidP="00406B82">
            <w:pPr>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A85FFC" w:rsidRPr="0044792E" w:rsidRDefault="00A85FFC">
            <w:pPr>
              <w:rPr>
                <w:rFonts w:ascii="Times New Roman" w:hAnsi="Times New Roman" w:cs="Times New Roman"/>
                <w:sz w:val="24"/>
                <w:szCs w:val="24"/>
              </w:rPr>
            </w:pPr>
          </w:p>
        </w:tc>
        <w:tc>
          <w:tcPr>
            <w:tcW w:w="1701"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rPr>
              <w:t>Часть 3 статьи 14.1.1. КоАП</w:t>
            </w:r>
          </w:p>
        </w:tc>
        <w:tc>
          <w:tcPr>
            <w:tcW w:w="2545"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tc>
        <w:tc>
          <w:tcPr>
            <w:tcW w:w="1850" w:type="dxa"/>
            <w:tcBorders>
              <w:top w:val="single" w:sz="4" w:space="0" w:color="auto"/>
              <w:bottom w:val="single" w:sz="4" w:space="0" w:color="auto"/>
            </w:tcBorders>
          </w:tcPr>
          <w:p w:rsidR="00A85FFC" w:rsidRPr="0044792E" w:rsidRDefault="00A85FFC" w:rsidP="00F04E11">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r w:rsidR="0044792E" w:rsidRPr="0044792E" w:rsidTr="00E86202">
        <w:trPr>
          <w:trHeight w:val="1365"/>
        </w:trPr>
        <w:tc>
          <w:tcPr>
            <w:tcW w:w="2694" w:type="dxa"/>
            <w:tcBorders>
              <w:top w:val="single" w:sz="4" w:space="0" w:color="auto"/>
              <w:bottom w:val="single" w:sz="4" w:space="0" w:color="auto"/>
            </w:tcBorders>
          </w:tcPr>
          <w:p w:rsidR="00A3699D" w:rsidRPr="00860679" w:rsidRDefault="00A3699D" w:rsidP="00A3699D">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г</w:t>
            </w:r>
            <w:r w:rsidRPr="00860679">
              <w:rPr>
                <w:rFonts w:ascii="Times New Roman" w:eastAsia="Times New Roman" w:hAnsi="Times New Roman" w:cs="Times New Roman"/>
                <w:b/>
                <w:sz w:val="24"/>
                <w:szCs w:val="24"/>
                <w:u w:val="single"/>
              </w:rPr>
              <w:t>»</w:t>
            </w:r>
          </w:p>
          <w:p w:rsidR="00406B82" w:rsidRPr="0044792E" w:rsidRDefault="00A3699D" w:rsidP="00A3699D">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О</w:t>
            </w:r>
            <w:r w:rsidR="00406B82" w:rsidRPr="0044792E">
              <w:rPr>
                <w:rFonts w:ascii="Times New Roman" w:eastAsia="Times New Roman" w:hAnsi="Times New Roman" w:cs="Times New Roman"/>
                <w:sz w:val="24"/>
                <w:szCs w:val="24"/>
              </w:rPr>
              <w:t>беспечение соискателем лицензии (лицензиатом) выполнения требований </w:t>
            </w:r>
            <w:hyperlink r:id="rId14" w:anchor="dst18" w:history="1">
              <w:r w:rsidR="00406B82" w:rsidRPr="0044792E">
                <w:rPr>
                  <w:rFonts w:ascii="Times New Roman" w:eastAsia="Times New Roman" w:hAnsi="Times New Roman" w:cs="Times New Roman"/>
                  <w:sz w:val="24"/>
                  <w:szCs w:val="24"/>
                </w:rPr>
                <w:t>статьи 15</w:t>
              </w:r>
            </w:hyperlink>
            <w:r w:rsidR="00406B82" w:rsidRPr="0044792E">
              <w:rPr>
                <w:rFonts w:ascii="Times New Roman" w:eastAsia="Times New Roman" w:hAnsi="Times New Roman" w:cs="Times New Roman"/>
                <w:sz w:val="24"/>
                <w:szCs w:val="24"/>
              </w:rPr>
              <w:t> Федерального закона</w:t>
            </w:r>
            <w:r w:rsidRPr="0044792E">
              <w:rPr>
                <w:rFonts w:ascii="Times New Roman" w:eastAsia="Times New Roman" w:hAnsi="Times New Roman" w:cs="Times New Roman"/>
                <w:sz w:val="24"/>
                <w:szCs w:val="24"/>
              </w:rPr>
              <w:t xml:space="preserve"> </w:t>
            </w:r>
            <w:r w:rsidRPr="0044792E">
              <w:rPr>
                <w:rFonts w:ascii="Times New Roman" w:hAnsi="Times New Roman" w:cs="Times New Roman"/>
                <w:sz w:val="24"/>
                <w:szCs w:val="24"/>
                <w:shd w:val="clear" w:color="auto" w:fill="FFFFFF"/>
              </w:rPr>
              <w:t xml:space="preserve">Федерального закона </w:t>
            </w:r>
            <w:r w:rsidRPr="0044792E">
              <w:rPr>
                <w:rFonts w:ascii="Times New Roman" w:hAnsi="Times New Roman" w:cs="Times New Roman"/>
                <w:sz w:val="24"/>
                <w:szCs w:val="24"/>
              </w:rPr>
              <w:t>от 29.12.2006 № 244-ФЗ.</w:t>
            </w:r>
          </w:p>
        </w:tc>
        <w:tc>
          <w:tcPr>
            <w:tcW w:w="7371" w:type="dxa"/>
            <w:tcBorders>
              <w:top w:val="single" w:sz="4" w:space="0" w:color="auto"/>
              <w:bottom w:val="single" w:sz="4" w:space="0" w:color="auto"/>
            </w:tcBorders>
          </w:tcPr>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80210F" w:rsidRPr="0044792E" w:rsidRDefault="0080210F" w:rsidP="0080210F">
            <w:pPr>
              <w:pStyle w:val="a5"/>
              <w:ind w:firstLine="317"/>
              <w:jc w:val="both"/>
              <w:rPr>
                <w:rFonts w:ascii="Times New Roman" w:hAnsi="Times New Roman" w:cs="Times New Roman"/>
                <w:sz w:val="24"/>
                <w:szCs w:val="24"/>
              </w:rPr>
            </w:pPr>
            <w:bookmarkStart w:id="1" w:name="Par2"/>
            <w:bookmarkEnd w:id="1"/>
            <w:r w:rsidRPr="0044792E">
              <w:rPr>
                <w:rFonts w:ascii="Times New Roman" w:hAnsi="Times New Roman" w:cs="Times New Roman"/>
                <w:sz w:val="24"/>
                <w:szCs w:val="24"/>
              </w:rPr>
              <w:t>2. Букмекерские конторы, тотализаторы, их пункты приема ставок не могут быть расположены:</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2) в зданиях, строениях, сооружениях, в которых расположены детские, образовательные, медицинские, санаторно-курортные учреждения;</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6) в зданиях, строениях, сооружениях, в которых расположены культовые и религиозные организации.</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ar2" w:history="1">
              <w:r w:rsidRPr="0044792E">
                <w:rPr>
                  <w:rFonts w:ascii="Times New Roman" w:hAnsi="Times New Roman" w:cs="Times New Roman"/>
                  <w:sz w:val="24"/>
                  <w:szCs w:val="24"/>
                </w:rPr>
                <w:t>части 2</w:t>
              </w:r>
            </w:hyperlink>
            <w:r w:rsidRPr="0044792E">
              <w:rPr>
                <w:rFonts w:ascii="Times New Roman" w:hAnsi="Times New Roman" w:cs="Times New Roman"/>
                <w:sz w:val="24"/>
                <w:szCs w:val="24"/>
              </w:rPr>
              <w:t xml:space="preserve"> настоящей статьи объекты.</w:t>
            </w:r>
          </w:p>
          <w:p w:rsidR="0080210F" w:rsidRPr="0044792E" w:rsidRDefault="0080210F" w:rsidP="0080210F">
            <w:pPr>
              <w:pStyle w:val="a5"/>
              <w:ind w:firstLine="317"/>
              <w:jc w:val="both"/>
              <w:rPr>
                <w:rFonts w:ascii="Times New Roman" w:hAnsi="Times New Roman" w:cs="Times New Roman"/>
                <w:sz w:val="24"/>
                <w:szCs w:val="24"/>
              </w:rPr>
            </w:pPr>
            <w:bookmarkStart w:id="2" w:name="Par13"/>
            <w:bookmarkEnd w:id="2"/>
            <w:r w:rsidRPr="0044792E">
              <w:rPr>
                <w:rFonts w:ascii="Times New Roman" w:hAnsi="Times New Roman" w:cs="Times New Roman"/>
                <w:sz w:val="24"/>
                <w:szCs w:val="24"/>
              </w:rPr>
              <w:t>3.1. В зоне обслуживания участников азартных игр в пункте приема ставок букмекерской конторы должна находиться касса букмекерской конторы.</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3.4. Положения </w:t>
            </w:r>
            <w:hyperlink w:anchor="Par13" w:history="1">
              <w:r w:rsidRPr="0044792E">
                <w:rPr>
                  <w:rFonts w:ascii="Times New Roman" w:hAnsi="Times New Roman" w:cs="Times New Roman"/>
                  <w:sz w:val="24"/>
                  <w:szCs w:val="24"/>
                </w:rPr>
                <w:t>частей 3.1</w:t>
              </w:r>
            </w:hyperlink>
            <w:r w:rsidRPr="0044792E">
              <w:rPr>
                <w:rFonts w:ascii="Times New Roman" w:hAnsi="Times New Roman" w:cs="Times New Roman"/>
                <w:sz w:val="24"/>
                <w:szCs w:val="24"/>
              </w:rPr>
              <w:t xml:space="preserve"> и </w:t>
            </w:r>
            <w:hyperlink w:anchor="Par13" w:history="1">
              <w:r w:rsidRPr="0044792E">
                <w:rPr>
                  <w:rFonts w:ascii="Times New Roman" w:hAnsi="Times New Roman" w:cs="Times New Roman"/>
                  <w:sz w:val="24"/>
                  <w:szCs w:val="24"/>
                </w:rPr>
                <w:t>3.3</w:t>
              </w:r>
            </w:hyperlink>
            <w:r w:rsidRPr="0044792E">
              <w:rPr>
                <w:rFonts w:ascii="Times New Roman" w:hAnsi="Times New Roman" w:cs="Times New Roman"/>
                <w:sz w:val="24"/>
                <w:szCs w:val="24"/>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80210F" w:rsidRPr="0044792E" w:rsidRDefault="0080210F" w:rsidP="0080210F">
            <w:pPr>
              <w:pStyle w:val="a5"/>
              <w:ind w:firstLine="317"/>
              <w:jc w:val="both"/>
              <w:rPr>
                <w:rFonts w:ascii="Times New Roman" w:hAnsi="Times New Roman" w:cs="Times New Roman"/>
                <w:sz w:val="24"/>
                <w:szCs w:val="24"/>
              </w:rPr>
            </w:pPr>
            <w:bookmarkStart w:id="3" w:name="Par23"/>
            <w:bookmarkEnd w:id="3"/>
            <w:r w:rsidRPr="0044792E">
              <w:rPr>
                <w:rFonts w:ascii="Times New Roman" w:hAnsi="Times New Roman" w:cs="Times New Roman"/>
                <w:sz w:val="24"/>
                <w:szCs w:val="24"/>
              </w:rPr>
              <w:t>3.5. В зоне обслуживания участников азартных игр в пункте приема ставок тотализатора должна находиться касса тотализатора.</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80210F" w:rsidRPr="0044792E" w:rsidRDefault="0080210F" w:rsidP="0080210F">
            <w:pPr>
              <w:pStyle w:val="a5"/>
              <w:ind w:firstLine="317"/>
              <w:jc w:val="both"/>
              <w:rPr>
                <w:rFonts w:ascii="Times New Roman" w:hAnsi="Times New Roman" w:cs="Times New Roman"/>
                <w:sz w:val="24"/>
                <w:szCs w:val="24"/>
              </w:rPr>
            </w:pPr>
            <w:bookmarkStart w:id="4" w:name="Par29"/>
            <w:bookmarkEnd w:id="4"/>
            <w:r w:rsidRPr="0044792E">
              <w:rPr>
                <w:rFonts w:ascii="Times New Roman" w:hAnsi="Times New Roman" w:cs="Times New Roman"/>
                <w:sz w:val="24"/>
                <w:szCs w:val="24"/>
              </w:rP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3.8. Положения </w:t>
            </w:r>
            <w:hyperlink w:anchor="Par23" w:history="1">
              <w:r w:rsidRPr="0044792E">
                <w:rPr>
                  <w:rFonts w:ascii="Times New Roman" w:hAnsi="Times New Roman" w:cs="Times New Roman"/>
                  <w:sz w:val="24"/>
                  <w:szCs w:val="24"/>
                </w:rPr>
                <w:t>частей 3.5</w:t>
              </w:r>
            </w:hyperlink>
            <w:r w:rsidRPr="0044792E">
              <w:rPr>
                <w:rFonts w:ascii="Times New Roman" w:hAnsi="Times New Roman" w:cs="Times New Roman"/>
                <w:sz w:val="24"/>
                <w:szCs w:val="24"/>
              </w:rPr>
              <w:t xml:space="preserve"> и </w:t>
            </w:r>
            <w:hyperlink w:anchor="Par29" w:history="1">
              <w:r w:rsidRPr="0044792E">
                <w:rPr>
                  <w:rFonts w:ascii="Times New Roman" w:hAnsi="Times New Roman" w:cs="Times New Roman"/>
                  <w:sz w:val="24"/>
                  <w:szCs w:val="24"/>
                </w:rPr>
                <w:t>3.7</w:t>
              </w:r>
            </w:hyperlink>
            <w:r w:rsidRPr="0044792E">
              <w:rPr>
                <w:rFonts w:ascii="Times New Roman" w:hAnsi="Times New Roman" w:cs="Times New Roman"/>
                <w:sz w:val="24"/>
                <w:szCs w:val="24"/>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3.10. В служебной зоне тотализатора (за исключением пунктов приема ставок тотализатора) должен находиться процессинговый центр тотализатора.</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3.12. </w:t>
            </w:r>
            <w:proofErr w:type="gramStart"/>
            <w:r w:rsidRPr="0044792E">
              <w:rPr>
                <w:rFonts w:ascii="Times New Roman" w:hAnsi="Times New Roman" w:cs="Times New Roman"/>
                <w:sz w:val="24"/>
                <w:szCs w:val="24"/>
              </w:rPr>
              <w:t>В процессинговом центре букмекерской конторы и в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w:t>
            </w:r>
            <w:proofErr w:type="gramEnd"/>
            <w:r w:rsidRPr="0044792E">
              <w:rPr>
                <w:rFonts w:ascii="Times New Roman" w:hAnsi="Times New Roman" w:cs="Times New Roman"/>
                <w:sz w:val="24"/>
                <w:szCs w:val="24"/>
              </w:rPr>
              <w:t xml:space="preserve"> </w:t>
            </w:r>
            <w:proofErr w:type="gramStart"/>
            <w:r w:rsidRPr="0044792E">
              <w:rPr>
                <w:rFonts w:ascii="Times New Roman" w:hAnsi="Times New Roman" w:cs="Times New Roman"/>
                <w:sz w:val="24"/>
                <w:szCs w:val="24"/>
              </w:rPr>
              <w:t>пункты приема ставок тотализатора, и (или)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w:t>
            </w:r>
            <w:proofErr w:type="gramEnd"/>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3.13. </w:t>
            </w:r>
            <w:proofErr w:type="gramStart"/>
            <w:r w:rsidRPr="0044792E">
              <w:rPr>
                <w:rFonts w:ascii="Times New Roman" w:hAnsi="Times New Roman" w:cs="Times New Roman"/>
                <w:sz w:val="24"/>
                <w:szCs w:val="24"/>
              </w:rPr>
              <w:t>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или процессингового центра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или процессинговый центр тотализатора о принятых ставках, выплаченных и невыплаченных</w:t>
            </w:r>
            <w:proofErr w:type="gramEnd"/>
            <w:r w:rsidRPr="0044792E">
              <w:rPr>
                <w:rFonts w:ascii="Times New Roman" w:hAnsi="Times New Roman" w:cs="Times New Roman"/>
                <w:sz w:val="24"/>
                <w:szCs w:val="24"/>
              </w:rPr>
              <w:t xml:space="preserve"> </w:t>
            </w:r>
            <w:proofErr w:type="gramStart"/>
            <w:r w:rsidRPr="0044792E">
              <w:rPr>
                <w:rFonts w:ascii="Times New Roman" w:hAnsi="Times New Roman" w:cs="Times New Roman"/>
                <w:sz w:val="24"/>
                <w:szCs w:val="24"/>
              </w:rPr>
              <w:t>выигрышах</w:t>
            </w:r>
            <w:proofErr w:type="gramEnd"/>
            <w:r w:rsidRPr="0044792E">
              <w:rPr>
                <w:rFonts w:ascii="Times New Roman" w:hAnsi="Times New Roman" w:cs="Times New Roman"/>
                <w:sz w:val="24"/>
                <w:szCs w:val="24"/>
              </w:rPr>
              <w:t>.</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 </w:t>
            </w:r>
          </w:p>
          <w:p w:rsidR="0080210F" w:rsidRPr="0044792E" w:rsidRDefault="0080210F" w:rsidP="0080210F">
            <w:pPr>
              <w:pStyle w:val="a5"/>
              <w:ind w:firstLine="317"/>
              <w:jc w:val="both"/>
              <w:rPr>
                <w:rFonts w:ascii="Times New Roman" w:hAnsi="Times New Roman" w:cs="Times New Roman"/>
                <w:sz w:val="24"/>
                <w:szCs w:val="24"/>
              </w:rPr>
            </w:pPr>
            <w:r w:rsidRPr="0044792E">
              <w:rPr>
                <w:rFonts w:ascii="Times New Roman" w:hAnsi="Times New Roman" w:cs="Times New Roman"/>
                <w:sz w:val="24"/>
                <w:szCs w:val="24"/>
              </w:rPr>
              <w:t xml:space="preserve">5. </w:t>
            </w:r>
            <w:proofErr w:type="gramStart"/>
            <w:r w:rsidRPr="0044792E">
              <w:rPr>
                <w:rFonts w:ascii="Times New Roman" w:hAnsi="Times New Roman" w:cs="Times New Roman"/>
                <w:sz w:val="24"/>
                <w:szCs w:val="24"/>
              </w:rPr>
              <w:t>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(за исключением международных лотерей, которые проводятся на основании</w:t>
            </w:r>
            <w:proofErr w:type="gramEnd"/>
            <w:r w:rsidRPr="0044792E">
              <w:rPr>
                <w:rFonts w:ascii="Times New Roman" w:hAnsi="Times New Roman" w:cs="Times New Roman"/>
                <w:sz w:val="24"/>
                <w:szCs w:val="24"/>
              </w:rPr>
              <w:t xml:space="preserve"> </w:t>
            </w:r>
            <w:proofErr w:type="gramStart"/>
            <w:r w:rsidRPr="0044792E">
              <w:rPr>
                <w:rFonts w:ascii="Times New Roman" w:hAnsi="Times New Roman" w:cs="Times New Roman"/>
                <w:sz w:val="24"/>
                <w:szCs w:val="24"/>
              </w:rPr>
              <w:t>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roofErr w:type="gramEnd"/>
          </w:p>
          <w:p w:rsidR="00406B82" w:rsidRPr="0044792E" w:rsidRDefault="00406B82">
            <w:pPr>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44792E" w:rsidRPr="0044792E" w:rsidTr="00E86202">
        <w:trPr>
          <w:trHeight w:val="3232"/>
        </w:trPr>
        <w:tc>
          <w:tcPr>
            <w:tcW w:w="2694" w:type="dxa"/>
            <w:tcBorders>
              <w:top w:val="single" w:sz="4" w:space="0" w:color="auto"/>
              <w:bottom w:val="single" w:sz="4" w:space="0" w:color="auto"/>
            </w:tcBorders>
          </w:tcPr>
          <w:p w:rsidR="00A3699D" w:rsidRPr="00860679" w:rsidRDefault="00A3699D" w:rsidP="00A3699D">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е</w:t>
            </w:r>
            <w:r w:rsidRPr="00860679">
              <w:rPr>
                <w:rFonts w:ascii="Times New Roman" w:eastAsia="Times New Roman" w:hAnsi="Times New Roman" w:cs="Times New Roman"/>
                <w:b/>
                <w:sz w:val="24"/>
                <w:szCs w:val="24"/>
                <w:u w:val="single"/>
              </w:rPr>
              <w:t>»</w:t>
            </w:r>
          </w:p>
          <w:p w:rsidR="00406B82" w:rsidRPr="0044792E" w:rsidRDefault="00A3699D" w:rsidP="00A3699D">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Н</w:t>
            </w:r>
            <w:r w:rsidR="00406B82" w:rsidRPr="0044792E">
              <w:rPr>
                <w:rFonts w:ascii="Times New Roman" w:eastAsia="Times New Roman" w:hAnsi="Times New Roman" w:cs="Times New Roman"/>
                <w:sz w:val="24"/>
                <w:szCs w:val="24"/>
              </w:rPr>
              <w:t>аличие у лицензиата зарегистрированных в налоговом органе в соответствии с Налоговым кодексом Российской Федерации процессингового центра букмекерской конторы (процессингового центра тотализатора) и пункта (пунктов) приема ставок букмекерской конторы (пункта (пунктов) приема ставок тотализатора)</w:t>
            </w:r>
            <w:r w:rsidRPr="0044792E">
              <w:rPr>
                <w:rFonts w:ascii="Times New Roman" w:eastAsia="Times New Roman" w:hAnsi="Times New Roman" w:cs="Times New Roman"/>
                <w:sz w:val="24"/>
                <w:szCs w:val="24"/>
              </w:rPr>
              <w:t>.</w:t>
            </w:r>
          </w:p>
          <w:p w:rsidR="00A3699D" w:rsidRPr="0044792E" w:rsidRDefault="00A3699D" w:rsidP="00A3699D">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406B82" w:rsidRPr="0044792E" w:rsidRDefault="00406B82">
            <w:pPr>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A85FFC" w:rsidRPr="0044792E" w:rsidTr="00C17088">
        <w:trPr>
          <w:trHeight w:val="1445"/>
        </w:trPr>
        <w:tc>
          <w:tcPr>
            <w:tcW w:w="2694" w:type="dxa"/>
            <w:tcBorders>
              <w:top w:val="single" w:sz="4" w:space="0" w:color="auto"/>
              <w:bottom w:val="single" w:sz="4" w:space="0" w:color="auto"/>
            </w:tcBorders>
          </w:tcPr>
          <w:p w:rsidR="00A85FFC" w:rsidRPr="00860679" w:rsidRDefault="00A85FFC" w:rsidP="00A3699D">
            <w:pPr>
              <w:pStyle w:val="a6"/>
              <w:shd w:val="clear" w:color="auto" w:fill="FFFFFF"/>
              <w:spacing w:line="290" w:lineRule="atLeast"/>
              <w:ind w:left="-142"/>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«ж»</w:t>
            </w:r>
          </w:p>
          <w:p w:rsidR="00A85FFC" w:rsidRPr="0044792E" w:rsidRDefault="00A85FFC" w:rsidP="00A3699D">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Обеспечение личной безопасности участников азартных игр, иных посетителей игорного заведения и работников лицензиата во время их нахождения в игорном заведении.</w:t>
            </w:r>
          </w:p>
        </w:tc>
        <w:tc>
          <w:tcPr>
            <w:tcW w:w="7371" w:type="dxa"/>
            <w:tcBorders>
              <w:top w:val="single" w:sz="4" w:space="0" w:color="auto"/>
              <w:bottom w:val="single" w:sz="4" w:space="0" w:color="auto"/>
            </w:tcBorders>
          </w:tcPr>
          <w:p w:rsidR="00A85FFC" w:rsidRPr="0044792E" w:rsidRDefault="00A85FFC">
            <w:pPr>
              <w:rPr>
                <w:rFonts w:ascii="Times New Roman" w:hAnsi="Times New Roman" w:cs="Times New Roman"/>
                <w:sz w:val="24"/>
                <w:szCs w:val="24"/>
              </w:rPr>
            </w:pPr>
          </w:p>
        </w:tc>
        <w:tc>
          <w:tcPr>
            <w:tcW w:w="1701"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rPr>
              <w:t>Часть 3 статьи 14.1.1. КоАП</w:t>
            </w:r>
          </w:p>
        </w:tc>
        <w:tc>
          <w:tcPr>
            <w:tcW w:w="2545"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tc>
        <w:tc>
          <w:tcPr>
            <w:tcW w:w="1850" w:type="dxa"/>
            <w:tcBorders>
              <w:top w:val="single" w:sz="4" w:space="0" w:color="auto"/>
              <w:bottom w:val="single" w:sz="4" w:space="0" w:color="auto"/>
            </w:tcBorders>
          </w:tcPr>
          <w:p w:rsidR="00A85FFC" w:rsidRPr="0044792E" w:rsidRDefault="00A85FFC" w:rsidP="00F04E11">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r w:rsidR="00A85FFC" w:rsidRPr="0044792E" w:rsidTr="00E86202">
        <w:trPr>
          <w:trHeight w:val="1485"/>
        </w:trPr>
        <w:tc>
          <w:tcPr>
            <w:tcW w:w="2694" w:type="dxa"/>
            <w:tcBorders>
              <w:top w:val="single" w:sz="4" w:space="0" w:color="auto"/>
              <w:bottom w:val="single" w:sz="4" w:space="0" w:color="auto"/>
            </w:tcBorders>
          </w:tcPr>
          <w:p w:rsidR="00A85FFC" w:rsidRPr="00860679" w:rsidRDefault="00A85FFC" w:rsidP="00A3699D">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«з»</w:t>
            </w:r>
          </w:p>
          <w:p w:rsidR="00A85FFC" w:rsidRPr="0044792E" w:rsidRDefault="00A85FFC"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Соблюдение лицензиатом требований, установленных </w:t>
            </w:r>
            <w:hyperlink r:id="rId15" w:anchor="dst100060" w:history="1">
              <w:r w:rsidRPr="0044792E">
                <w:rPr>
                  <w:rFonts w:ascii="Times New Roman" w:eastAsia="Times New Roman" w:hAnsi="Times New Roman" w:cs="Times New Roman"/>
                  <w:sz w:val="24"/>
                  <w:szCs w:val="24"/>
                </w:rPr>
                <w:t>частью 5 статьи 6</w:t>
              </w:r>
            </w:hyperlink>
            <w:r w:rsidRPr="0044792E">
              <w:rPr>
                <w:rFonts w:ascii="Times New Roman" w:eastAsia="Times New Roman" w:hAnsi="Times New Roman" w:cs="Times New Roman"/>
                <w:sz w:val="24"/>
                <w:szCs w:val="24"/>
              </w:rPr>
              <w:t> и </w:t>
            </w:r>
            <w:hyperlink r:id="rId16" w:anchor="dst121" w:history="1">
              <w:r w:rsidRPr="0044792E">
                <w:rPr>
                  <w:rFonts w:ascii="Times New Roman" w:eastAsia="Times New Roman" w:hAnsi="Times New Roman" w:cs="Times New Roman"/>
                  <w:sz w:val="24"/>
                  <w:szCs w:val="24"/>
                </w:rPr>
                <w:t>частью 2 статьи 8</w:t>
              </w:r>
            </w:hyperlink>
            <w:r w:rsidRPr="0044792E">
              <w:rPr>
                <w:rFonts w:ascii="Times New Roman" w:eastAsia="Times New Roman" w:hAnsi="Times New Roman" w:cs="Times New Roman"/>
                <w:sz w:val="24"/>
                <w:szCs w:val="24"/>
              </w:rPr>
              <w:t> </w:t>
            </w:r>
            <w:r w:rsidRPr="0044792E">
              <w:rPr>
                <w:rFonts w:ascii="Times New Roman" w:hAnsi="Times New Roman" w:cs="Times New Roman"/>
                <w:sz w:val="24"/>
                <w:szCs w:val="24"/>
                <w:shd w:val="clear" w:color="auto" w:fill="FFFFFF"/>
              </w:rPr>
              <w:t xml:space="preserve">Федерального закона </w:t>
            </w:r>
            <w:r w:rsidRPr="0044792E">
              <w:rPr>
                <w:rFonts w:ascii="Times New Roman" w:hAnsi="Times New Roman" w:cs="Times New Roman"/>
                <w:sz w:val="24"/>
                <w:szCs w:val="24"/>
              </w:rPr>
              <w:t>от 29.12.2006 № 244-ФЗ.</w:t>
            </w:r>
          </w:p>
          <w:p w:rsidR="00A85FFC" w:rsidRPr="0044792E" w:rsidRDefault="00A85FFC"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A85FFC" w:rsidRPr="0044792E" w:rsidRDefault="00A85FFC" w:rsidP="0080210F">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 xml:space="preserve">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17" w:history="1">
              <w:r w:rsidRPr="0044792E">
                <w:rPr>
                  <w:rFonts w:ascii="Times New Roman" w:hAnsi="Times New Roman" w:cs="Times New Roman"/>
                  <w:sz w:val="24"/>
                  <w:szCs w:val="24"/>
                </w:rPr>
                <w:t>правила</w:t>
              </w:r>
            </w:hyperlink>
            <w:r w:rsidRPr="0044792E">
              <w:rPr>
                <w:rFonts w:ascii="Times New Roman" w:hAnsi="Times New Roman" w:cs="Times New Roman"/>
                <w:sz w:val="24"/>
                <w:szCs w:val="24"/>
              </w:rPr>
              <w:t xml:space="preserve"> совершения операций с денежными средствами при организации и проведении азартных игр.</w:t>
            </w:r>
          </w:p>
          <w:p w:rsidR="00A85FFC" w:rsidRPr="0044792E" w:rsidRDefault="00A85FFC" w:rsidP="00192E2B">
            <w:pPr>
              <w:autoSpaceDE w:val="0"/>
              <w:autoSpaceDN w:val="0"/>
              <w:adjustRightInd w:val="0"/>
              <w:ind w:firstLine="540"/>
              <w:jc w:val="both"/>
              <w:rPr>
                <w:rFonts w:ascii="Times New Roman" w:hAnsi="Times New Roman" w:cs="Times New Roman"/>
                <w:sz w:val="24"/>
                <w:szCs w:val="24"/>
              </w:rPr>
            </w:pPr>
            <w:proofErr w:type="gramStart"/>
            <w:r w:rsidRPr="0044792E">
              <w:rPr>
                <w:rFonts w:ascii="Times New Roman" w:hAnsi="Times New Roman" w:cs="Times New Roman"/>
                <w:sz w:val="24"/>
                <w:szCs w:val="24"/>
              </w:rPr>
              <w:t>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w:t>
            </w:r>
            <w:proofErr w:type="gramEnd"/>
            <w:r w:rsidRPr="0044792E">
              <w:rPr>
                <w:rFonts w:ascii="Times New Roman" w:hAnsi="Times New Roman" w:cs="Times New Roman"/>
                <w:sz w:val="24"/>
                <w:szCs w:val="24"/>
              </w:rPr>
              <w:t xml:space="preserve"> или тотализатора, иного места осуществления деятельности по организации и проведению азартных игр. </w:t>
            </w:r>
            <w:proofErr w:type="gramStart"/>
            <w:r w:rsidRPr="0044792E">
              <w:rPr>
                <w:rFonts w:ascii="Times New Roman" w:hAnsi="Times New Roman" w:cs="Times New Roman"/>
                <w:sz w:val="24"/>
                <w:szCs w:val="24"/>
              </w:rPr>
              <w:t>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w:t>
            </w:r>
            <w:proofErr w:type="gramEnd"/>
            <w:r w:rsidRPr="0044792E">
              <w:rPr>
                <w:rFonts w:ascii="Times New Roman" w:hAnsi="Times New Roman" w:cs="Times New Roman"/>
                <w:sz w:val="24"/>
                <w:szCs w:val="24"/>
              </w:rPr>
              <w:t xml:space="preserve"> </w:t>
            </w:r>
            <w:proofErr w:type="gramStart"/>
            <w:r w:rsidRPr="0044792E">
              <w:rPr>
                <w:rFonts w:ascii="Times New Roman" w:hAnsi="Times New Roman" w:cs="Times New Roman"/>
                <w:sz w:val="24"/>
                <w:szCs w:val="24"/>
              </w:rPr>
              <w:t>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roofErr w:type="gramEnd"/>
          </w:p>
          <w:p w:rsidR="00A85FFC" w:rsidRPr="0044792E" w:rsidRDefault="00A85FFC">
            <w:pPr>
              <w:rPr>
                <w:rFonts w:ascii="Times New Roman" w:hAnsi="Times New Roman" w:cs="Times New Roman"/>
                <w:sz w:val="24"/>
                <w:szCs w:val="24"/>
              </w:rPr>
            </w:pPr>
          </w:p>
        </w:tc>
        <w:tc>
          <w:tcPr>
            <w:tcW w:w="1701"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rPr>
              <w:t>Часть 3 статьи 14.1.1. КоАП</w:t>
            </w:r>
          </w:p>
        </w:tc>
        <w:tc>
          <w:tcPr>
            <w:tcW w:w="2545" w:type="dxa"/>
            <w:tcBorders>
              <w:top w:val="single" w:sz="4" w:space="0" w:color="auto"/>
              <w:bottom w:val="single" w:sz="4" w:space="0" w:color="auto"/>
            </w:tcBorders>
          </w:tcPr>
          <w:p w:rsidR="00A85FFC" w:rsidRPr="0044792E" w:rsidRDefault="00A85FFC"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tc>
        <w:tc>
          <w:tcPr>
            <w:tcW w:w="1850" w:type="dxa"/>
            <w:tcBorders>
              <w:top w:val="single" w:sz="4" w:space="0" w:color="auto"/>
              <w:bottom w:val="single" w:sz="4" w:space="0" w:color="auto"/>
            </w:tcBorders>
          </w:tcPr>
          <w:p w:rsidR="00A85FFC" w:rsidRPr="0044792E" w:rsidRDefault="00A85FFC" w:rsidP="00F04E11">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r w:rsidR="0044792E" w:rsidRPr="0044792E" w:rsidTr="00C17088">
        <w:trPr>
          <w:trHeight w:val="452"/>
        </w:trPr>
        <w:tc>
          <w:tcPr>
            <w:tcW w:w="2694" w:type="dxa"/>
            <w:tcBorders>
              <w:top w:val="single" w:sz="4" w:space="0" w:color="auto"/>
              <w:bottom w:val="single" w:sz="4" w:space="0" w:color="auto"/>
            </w:tcBorders>
          </w:tcPr>
          <w:p w:rsidR="00A3699D" w:rsidRPr="00860679" w:rsidRDefault="00A3699D" w:rsidP="00A3699D">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и</w:t>
            </w:r>
            <w:r w:rsidRPr="00860679">
              <w:rPr>
                <w:rFonts w:ascii="Times New Roman" w:eastAsia="Times New Roman" w:hAnsi="Times New Roman" w:cs="Times New Roman"/>
                <w:b/>
                <w:sz w:val="24"/>
                <w:szCs w:val="24"/>
                <w:u w:val="single"/>
              </w:rPr>
              <w:t>»</w:t>
            </w:r>
          </w:p>
          <w:p w:rsidR="00406B82" w:rsidRPr="0044792E" w:rsidRDefault="00A3699D"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оответствие соискателя лицензии (лицензиата) требованиям, установленным </w:t>
            </w:r>
            <w:hyperlink r:id="rId18" w:anchor="dst100056" w:history="1">
              <w:r w:rsidR="00406B82" w:rsidRPr="0044792E">
                <w:rPr>
                  <w:rFonts w:ascii="Times New Roman" w:eastAsia="Times New Roman" w:hAnsi="Times New Roman" w:cs="Times New Roman"/>
                  <w:sz w:val="24"/>
                  <w:szCs w:val="24"/>
                </w:rPr>
                <w:t>частями 1</w:t>
              </w:r>
            </w:hyperlink>
            <w:r w:rsidR="00406B82" w:rsidRPr="0044792E">
              <w:rPr>
                <w:rFonts w:ascii="Times New Roman" w:eastAsia="Times New Roman" w:hAnsi="Times New Roman" w:cs="Times New Roman"/>
                <w:sz w:val="24"/>
                <w:szCs w:val="24"/>
              </w:rPr>
              <w:t>, </w:t>
            </w:r>
            <w:hyperlink r:id="rId19" w:anchor="dst110" w:history="1">
              <w:r w:rsidR="00406B82" w:rsidRPr="0044792E">
                <w:rPr>
                  <w:rFonts w:ascii="Times New Roman" w:eastAsia="Times New Roman" w:hAnsi="Times New Roman" w:cs="Times New Roman"/>
                  <w:sz w:val="24"/>
                  <w:szCs w:val="24"/>
                </w:rPr>
                <w:t>2</w:t>
              </w:r>
            </w:hyperlink>
            <w:r w:rsidR="00406B82" w:rsidRPr="0044792E">
              <w:rPr>
                <w:rFonts w:ascii="Times New Roman" w:eastAsia="Times New Roman" w:hAnsi="Times New Roman" w:cs="Times New Roman"/>
                <w:sz w:val="24"/>
                <w:szCs w:val="24"/>
              </w:rPr>
              <w:t>, </w:t>
            </w:r>
            <w:hyperlink r:id="rId20" w:anchor="dst112" w:history="1">
              <w:r w:rsidR="00406B82" w:rsidRPr="0044792E">
                <w:rPr>
                  <w:rFonts w:ascii="Times New Roman" w:eastAsia="Times New Roman" w:hAnsi="Times New Roman" w:cs="Times New Roman"/>
                  <w:sz w:val="24"/>
                  <w:szCs w:val="24"/>
                </w:rPr>
                <w:t>9</w:t>
              </w:r>
            </w:hyperlink>
            <w:r w:rsidR="00406B82" w:rsidRPr="0044792E">
              <w:rPr>
                <w:rFonts w:ascii="Times New Roman" w:eastAsia="Times New Roman" w:hAnsi="Times New Roman" w:cs="Times New Roman"/>
                <w:sz w:val="24"/>
                <w:szCs w:val="24"/>
              </w:rPr>
              <w:t> и </w:t>
            </w:r>
            <w:hyperlink r:id="rId21" w:anchor="dst114" w:history="1">
              <w:r w:rsidR="00406B82" w:rsidRPr="0044792E">
                <w:rPr>
                  <w:rFonts w:ascii="Times New Roman" w:eastAsia="Times New Roman" w:hAnsi="Times New Roman" w:cs="Times New Roman"/>
                  <w:sz w:val="24"/>
                  <w:szCs w:val="24"/>
                </w:rPr>
                <w:t>14(1) статьи 6</w:t>
              </w:r>
            </w:hyperlink>
            <w:r w:rsidR="006D7CFE" w:rsidRPr="0044792E">
              <w:rPr>
                <w:rFonts w:ascii="Times New Roman" w:eastAsia="Times New Roman" w:hAnsi="Times New Roman" w:cs="Times New Roman"/>
                <w:sz w:val="24"/>
                <w:szCs w:val="24"/>
              </w:rPr>
              <w:t xml:space="preserve"> </w:t>
            </w:r>
            <w:r w:rsidRPr="0044792E">
              <w:rPr>
                <w:rFonts w:ascii="Times New Roman" w:hAnsi="Times New Roman" w:cs="Times New Roman"/>
                <w:sz w:val="24"/>
                <w:szCs w:val="24"/>
                <w:shd w:val="clear" w:color="auto" w:fill="FFFFFF"/>
              </w:rPr>
              <w:t xml:space="preserve">Федерального закона </w:t>
            </w:r>
            <w:r w:rsidRPr="0044792E">
              <w:rPr>
                <w:rFonts w:ascii="Times New Roman" w:hAnsi="Times New Roman" w:cs="Times New Roman"/>
                <w:sz w:val="24"/>
                <w:szCs w:val="24"/>
              </w:rPr>
              <w:t>от 29.12.2006 № 244-ФЗ.</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192E2B" w:rsidRPr="0044792E" w:rsidRDefault="00192E2B" w:rsidP="00192E2B">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 xml:space="preserve">Организаторами азартных игр могут выступать исключительно юридические лица, зарегистрированные в установленном </w:t>
            </w:r>
            <w:hyperlink r:id="rId22" w:history="1">
              <w:r w:rsidRPr="0044792E">
                <w:rPr>
                  <w:rFonts w:ascii="Times New Roman" w:hAnsi="Times New Roman" w:cs="Times New Roman"/>
                  <w:sz w:val="24"/>
                  <w:szCs w:val="24"/>
                </w:rPr>
                <w:t>порядке</w:t>
              </w:r>
            </w:hyperlink>
            <w:r w:rsidRPr="0044792E">
              <w:rPr>
                <w:rFonts w:ascii="Times New Roman" w:hAnsi="Times New Roman" w:cs="Times New Roman"/>
                <w:sz w:val="24"/>
                <w:szCs w:val="24"/>
              </w:rPr>
              <w:t xml:space="preserve"> на территории Российской Федерации.</w:t>
            </w:r>
          </w:p>
          <w:p w:rsidR="00192E2B" w:rsidRPr="0044792E" w:rsidRDefault="00192E2B" w:rsidP="00192E2B">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 xml:space="preserve">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w:t>
            </w:r>
            <w:proofErr w:type="gramStart"/>
            <w:r w:rsidRPr="0044792E">
              <w:rPr>
                <w:rFonts w:ascii="Times New Roman" w:hAnsi="Times New Roman" w:cs="Times New Roman"/>
                <w:sz w:val="24"/>
                <w:szCs w:val="24"/>
              </w:rPr>
              <w:t>исключением</w:t>
            </w:r>
            <w:proofErr w:type="gramEnd"/>
            <w:r w:rsidRPr="0044792E">
              <w:rPr>
                <w:rFonts w:ascii="Times New Roman" w:hAnsi="Times New Roman" w:cs="Times New Roman"/>
                <w:sz w:val="24"/>
                <w:szCs w:val="24"/>
              </w:rPr>
              <w:t xml:space="preserve">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192E2B" w:rsidRPr="0044792E" w:rsidRDefault="00192E2B" w:rsidP="00192E2B">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 xml:space="preserve">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w:t>
            </w:r>
            <w:proofErr w:type="gramStart"/>
            <w:r w:rsidRPr="0044792E">
              <w:rPr>
                <w:rFonts w:ascii="Times New Roman" w:hAnsi="Times New Roman" w:cs="Times New Roman"/>
                <w:sz w:val="24"/>
                <w:szCs w:val="24"/>
              </w:rPr>
              <w:t>направлений</w:t>
            </w:r>
            <w:proofErr w:type="gramEnd"/>
            <w:r w:rsidRPr="0044792E">
              <w:rPr>
                <w:rFonts w:ascii="Times New Roman" w:hAnsi="Times New Roman" w:cs="Times New Roman"/>
                <w:sz w:val="24"/>
                <w:szCs w:val="24"/>
              </w:rPr>
              <w:t xml:space="preserve">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hyperlink r:id="rId23" w:history="1">
              <w:r w:rsidRPr="0044792E">
                <w:rPr>
                  <w:rFonts w:ascii="Times New Roman" w:hAnsi="Times New Roman" w:cs="Times New Roman"/>
                  <w:sz w:val="24"/>
                  <w:szCs w:val="24"/>
                </w:rPr>
                <w:t>Порядок</w:t>
              </w:r>
            </w:hyperlink>
            <w:r w:rsidRPr="0044792E">
              <w:rPr>
                <w:rFonts w:ascii="Times New Roman" w:hAnsi="Times New Roman" w:cs="Times New Roman"/>
                <w:sz w:val="24"/>
                <w:szCs w:val="24"/>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192E2B" w:rsidRPr="0044792E" w:rsidRDefault="00192E2B" w:rsidP="00192E2B">
            <w:pPr>
              <w:autoSpaceDE w:val="0"/>
              <w:autoSpaceDN w:val="0"/>
              <w:adjustRightInd w:val="0"/>
              <w:ind w:firstLine="540"/>
              <w:jc w:val="both"/>
              <w:rPr>
                <w:rFonts w:ascii="Times New Roman" w:hAnsi="Times New Roman" w:cs="Times New Roman"/>
                <w:sz w:val="24"/>
                <w:szCs w:val="24"/>
              </w:rPr>
            </w:pPr>
            <w:proofErr w:type="gramStart"/>
            <w:r w:rsidRPr="0044792E">
              <w:rPr>
                <w:rFonts w:ascii="Times New Roman" w:hAnsi="Times New Roman" w:cs="Times New Roman"/>
                <w:sz w:val="24"/>
                <w:szCs w:val="24"/>
              </w:rPr>
              <w:t>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 процессинговых центрах тотализаторов на территории Российской Федерации и находиться в собственности организатора азартных игр.</w:t>
            </w:r>
            <w:proofErr w:type="gramEnd"/>
          </w:p>
          <w:p w:rsidR="00192E2B" w:rsidRPr="0044792E" w:rsidRDefault="00192E2B">
            <w:pPr>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44792E" w:rsidRPr="0044792E" w:rsidTr="00E86202">
        <w:trPr>
          <w:trHeight w:val="1410"/>
        </w:trPr>
        <w:tc>
          <w:tcPr>
            <w:tcW w:w="2694" w:type="dxa"/>
            <w:tcBorders>
              <w:top w:val="single" w:sz="4" w:space="0" w:color="auto"/>
              <w:bottom w:val="single" w:sz="4" w:space="0" w:color="auto"/>
            </w:tcBorders>
          </w:tcPr>
          <w:p w:rsidR="006D7CFE" w:rsidRPr="00860679" w:rsidRDefault="006D7CFE" w:rsidP="006D7CFE">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к</w:t>
            </w:r>
            <w:r w:rsidRPr="00860679">
              <w:rPr>
                <w:rFonts w:ascii="Times New Roman" w:eastAsia="Times New Roman" w:hAnsi="Times New Roman" w:cs="Times New Roman"/>
                <w:b/>
                <w:sz w:val="24"/>
                <w:szCs w:val="24"/>
                <w:u w:val="single"/>
              </w:rPr>
              <w:t>»</w:t>
            </w:r>
          </w:p>
          <w:p w:rsidR="00406B82" w:rsidRPr="0044792E" w:rsidRDefault="006D7CFE"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оответствие лицензиата требованиям, установленным </w:t>
            </w:r>
            <w:hyperlink r:id="rId24" w:anchor="dst100192" w:history="1">
              <w:r w:rsidR="00406B82" w:rsidRPr="0044792E">
                <w:rPr>
                  <w:rFonts w:ascii="Times New Roman" w:eastAsia="Times New Roman" w:hAnsi="Times New Roman" w:cs="Times New Roman"/>
                  <w:sz w:val="24"/>
                  <w:szCs w:val="24"/>
                </w:rPr>
                <w:t>частью 10 статьи 6</w:t>
              </w:r>
            </w:hyperlink>
            <w:r w:rsidR="00406B82" w:rsidRPr="0044792E">
              <w:rPr>
                <w:rFonts w:ascii="Times New Roman" w:eastAsia="Times New Roman" w:hAnsi="Times New Roman" w:cs="Times New Roman"/>
                <w:sz w:val="24"/>
                <w:szCs w:val="24"/>
              </w:rPr>
              <w:t>, а также </w:t>
            </w:r>
            <w:hyperlink r:id="rId25" w:anchor="dst125" w:history="1">
              <w:r w:rsidR="00406B82" w:rsidRPr="0044792E">
                <w:rPr>
                  <w:rFonts w:ascii="Times New Roman" w:eastAsia="Times New Roman" w:hAnsi="Times New Roman" w:cs="Times New Roman"/>
                  <w:sz w:val="24"/>
                  <w:szCs w:val="24"/>
                </w:rPr>
                <w:t>частями 4</w:t>
              </w:r>
            </w:hyperlink>
            <w:r w:rsidR="00406B82" w:rsidRPr="0044792E">
              <w:rPr>
                <w:rFonts w:ascii="Times New Roman" w:eastAsia="Times New Roman" w:hAnsi="Times New Roman" w:cs="Times New Roman"/>
                <w:sz w:val="24"/>
                <w:szCs w:val="24"/>
              </w:rPr>
              <w:t> - </w:t>
            </w:r>
            <w:hyperlink r:id="rId26" w:anchor="dst128" w:history="1">
              <w:r w:rsidR="00406B82" w:rsidRPr="0044792E">
                <w:rPr>
                  <w:rFonts w:ascii="Times New Roman" w:eastAsia="Times New Roman" w:hAnsi="Times New Roman" w:cs="Times New Roman"/>
                  <w:sz w:val="24"/>
                  <w:szCs w:val="24"/>
                </w:rPr>
                <w:t>7 статьи 14</w:t>
              </w:r>
            </w:hyperlink>
            <w:r w:rsidR="00406B82" w:rsidRPr="0044792E">
              <w:rPr>
                <w:rFonts w:ascii="Times New Roman" w:eastAsia="Times New Roman" w:hAnsi="Times New Roman" w:cs="Times New Roman"/>
                <w:sz w:val="24"/>
                <w:szCs w:val="24"/>
              </w:rPr>
              <w:t> </w:t>
            </w:r>
            <w:r w:rsidR="00A3699D" w:rsidRPr="0044792E">
              <w:rPr>
                <w:rFonts w:ascii="Times New Roman" w:hAnsi="Times New Roman" w:cs="Times New Roman"/>
                <w:sz w:val="24"/>
                <w:szCs w:val="24"/>
                <w:shd w:val="clear" w:color="auto" w:fill="FFFFFF"/>
              </w:rPr>
              <w:t xml:space="preserve">Федерального закона </w:t>
            </w:r>
            <w:r w:rsidR="00A3699D" w:rsidRPr="0044792E">
              <w:rPr>
                <w:rFonts w:ascii="Times New Roman" w:hAnsi="Times New Roman" w:cs="Times New Roman"/>
                <w:sz w:val="24"/>
                <w:szCs w:val="24"/>
              </w:rPr>
              <w:t>от 29.12.2006 № 244-ФЗ.</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192E2B" w:rsidRPr="00CD1DF2" w:rsidRDefault="00192E2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w:t>
            </w:r>
            <w:proofErr w:type="gramStart"/>
            <w:r w:rsidRPr="00CD1DF2">
              <w:rPr>
                <w:rFonts w:ascii="Times New Roman" w:hAnsi="Times New Roman" w:cs="Times New Roman"/>
                <w:sz w:val="24"/>
                <w:szCs w:val="24"/>
              </w:rPr>
              <w:t>ии у о</w:t>
            </w:r>
            <w:proofErr w:type="gramEnd"/>
            <w:r w:rsidRPr="00CD1DF2">
              <w:rPr>
                <w:rFonts w:ascii="Times New Roman" w:hAnsi="Times New Roman" w:cs="Times New Roman"/>
                <w:sz w:val="24"/>
                <w:szCs w:val="24"/>
              </w:rPr>
              <w:t xml:space="preserve">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w:t>
            </w:r>
            <w:proofErr w:type="gramStart"/>
            <w:r w:rsidRPr="00CD1DF2">
              <w:rPr>
                <w:rFonts w:ascii="Times New Roman" w:hAnsi="Times New Roman" w:cs="Times New Roman"/>
                <w:sz w:val="24"/>
                <w:szCs w:val="24"/>
              </w:rPr>
              <w:t>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w:t>
            </w:r>
            <w:proofErr w:type="gramEnd"/>
            <w:r w:rsidRPr="00CD1DF2">
              <w:rPr>
                <w:rFonts w:ascii="Times New Roman" w:hAnsi="Times New Roman" w:cs="Times New Roman"/>
                <w:sz w:val="24"/>
                <w:szCs w:val="24"/>
              </w:rPr>
              <w:t xml:space="preserve"> Размер банковской гарантии определяется в соответствующем договоре и не может быть менее чем 500 миллионов рублей.</w:t>
            </w:r>
          </w:p>
          <w:p w:rsidR="00192E2B" w:rsidRPr="00CD1DF2" w:rsidRDefault="00192E2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192E2B" w:rsidRPr="00CD1DF2" w:rsidRDefault="00192E2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hyperlink r:id="rId27" w:history="1">
              <w:r w:rsidRPr="00CD1DF2">
                <w:rPr>
                  <w:rFonts w:ascii="Times New Roman" w:hAnsi="Times New Roman" w:cs="Times New Roman"/>
                  <w:sz w:val="24"/>
                  <w:szCs w:val="24"/>
                </w:rPr>
                <w:t>законом</w:t>
              </w:r>
            </w:hyperlink>
            <w:r w:rsidRPr="00CD1DF2">
              <w:rPr>
                <w:rFonts w:ascii="Times New Roman" w:hAnsi="Times New Roman" w:cs="Times New Roman"/>
                <w:sz w:val="24"/>
                <w:szCs w:val="24"/>
              </w:rP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192E2B" w:rsidRPr="00CD1DF2" w:rsidRDefault="00192E2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w:t>
            </w:r>
            <w:proofErr w:type="gramStart"/>
            <w:r w:rsidRPr="00CD1DF2">
              <w:rPr>
                <w:rFonts w:ascii="Times New Roman" w:hAnsi="Times New Roman" w:cs="Times New Roman"/>
                <w:sz w:val="24"/>
                <w:szCs w:val="24"/>
              </w:rPr>
              <w:t>заключения</w:t>
            </w:r>
            <w:proofErr w:type="gramEnd"/>
            <w:r w:rsidRPr="00CD1DF2">
              <w:rPr>
                <w:rFonts w:ascii="Times New Roman" w:hAnsi="Times New Roman" w:cs="Times New Roman"/>
                <w:sz w:val="24"/>
                <w:szCs w:val="24"/>
              </w:rPr>
              <w:t xml:space="preserve">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192E2B" w:rsidRPr="00CD1DF2" w:rsidRDefault="00192E2B" w:rsidP="00CD1DF2">
            <w:pPr>
              <w:pStyle w:val="a5"/>
              <w:ind w:firstLine="317"/>
              <w:jc w:val="both"/>
              <w:rPr>
                <w:rFonts w:ascii="Times New Roman" w:hAnsi="Times New Roman" w:cs="Times New Roman"/>
                <w:sz w:val="24"/>
                <w:szCs w:val="24"/>
              </w:rPr>
            </w:pPr>
            <w:proofErr w:type="gramStart"/>
            <w:r w:rsidRPr="00CD1DF2">
              <w:rPr>
                <w:rFonts w:ascii="Times New Roman" w:hAnsi="Times New Roman" w:cs="Times New Roman"/>
                <w:sz w:val="24"/>
                <w:szCs w:val="24"/>
              </w:rPr>
              <w:t>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w:t>
            </w:r>
            <w:proofErr w:type="gramEnd"/>
            <w:r w:rsidRPr="00CD1DF2">
              <w:rPr>
                <w:rFonts w:ascii="Times New Roman" w:hAnsi="Times New Roman" w:cs="Times New Roman"/>
                <w:sz w:val="24"/>
                <w:szCs w:val="24"/>
              </w:rPr>
              <w:t xml:space="preserve">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406B82" w:rsidRPr="00CD1DF2" w:rsidRDefault="00406B82" w:rsidP="00CD1DF2">
            <w:pPr>
              <w:pStyle w:val="a5"/>
              <w:ind w:firstLine="317"/>
              <w:jc w:val="both"/>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44792E" w:rsidRPr="0044792E" w:rsidTr="00E86202">
        <w:trPr>
          <w:trHeight w:val="1152"/>
        </w:trPr>
        <w:tc>
          <w:tcPr>
            <w:tcW w:w="2694" w:type="dxa"/>
            <w:tcBorders>
              <w:top w:val="single" w:sz="4" w:space="0" w:color="auto"/>
              <w:bottom w:val="single" w:sz="4" w:space="0" w:color="auto"/>
            </w:tcBorders>
          </w:tcPr>
          <w:p w:rsidR="006D7CFE" w:rsidRPr="00860679" w:rsidRDefault="006D7CFE" w:rsidP="006D7CFE">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л</w:t>
            </w:r>
            <w:r w:rsidRPr="00860679">
              <w:rPr>
                <w:rFonts w:ascii="Times New Roman" w:eastAsia="Times New Roman" w:hAnsi="Times New Roman" w:cs="Times New Roman"/>
                <w:b/>
                <w:sz w:val="24"/>
                <w:szCs w:val="24"/>
                <w:u w:val="single"/>
              </w:rPr>
              <w:t>»</w:t>
            </w:r>
          </w:p>
          <w:p w:rsidR="00406B82" w:rsidRPr="0044792E" w:rsidRDefault="006D7CFE"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облюдение лицензиатом требований, установленных </w:t>
            </w:r>
            <w:hyperlink r:id="rId28" w:anchor="dst100193" w:history="1">
              <w:r w:rsidR="00406B82" w:rsidRPr="0044792E">
                <w:rPr>
                  <w:rFonts w:ascii="Times New Roman" w:eastAsia="Times New Roman" w:hAnsi="Times New Roman" w:cs="Times New Roman"/>
                  <w:sz w:val="24"/>
                  <w:szCs w:val="24"/>
                </w:rPr>
                <w:t>частями 11</w:t>
              </w:r>
            </w:hyperlink>
            <w:r w:rsidR="00406B82" w:rsidRPr="0044792E">
              <w:rPr>
                <w:rFonts w:ascii="Times New Roman" w:eastAsia="Times New Roman" w:hAnsi="Times New Roman" w:cs="Times New Roman"/>
                <w:sz w:val="24"/>
                <w:szCs w:val="24"/>
              </w:rPr>
              <w:t> - </w:t>
            </w:r>
            <w:hyperlink r:id="rId29" w:anchor="dst100195" w:history="1">
              <w:r w:rsidR="00406B82" w:rsidRPr="0044792E">
                <w:rPr>
                  <w:rFonts w:ascii="Times New Roman" w:eastAsia="Times New Roman" w:hAnsi="Times New Roman" w:cs="Times New Roman"/>
                  <w:sz w:val="24"/>
                  <w:szCs w:val="24"/>
                </w:rPr>
                <w:t>13 статьи 6</w:t>
              </w:r>
            </w:hyperlink>
            <w:r w:rsidR="00406B82" w:rsidRPr="0044792E">
              <w:rPr>
                <w:rFonts w:ascii="Times New Roman" w:eastAsia="Times New Roman" w:hAnsi="Times New Roman" w:cs="Times New Roman"/>
                <w:sz w:val="24"/>
                <w:szCs w:val="24"/>
              </w:rPr>
              <w:t> </w:t>
            </w:r>
            <w:r w:rsidR="00A3699D" w:rsidRPr="0044792E">
              <w:rPr>
                <w:rFonts w:ascii="Times New Roman" w:hAnsi="Times New Roman" w:cs="Times New Roman"/>
                <w:sz w:val="24"/>
                <w:szCs w:val="24"/>
                <w:shd w:val="clear" w:color="auto" w:fill="FFFFFF"/>
              </w:rPr>
              <w:t xml:space="preserve">Федерального закона </w:t>
            </w:r>
            <w:r w:rsidR="00A3699D" w:rsidRPr="0044792E">
              <w:rPr>
                <w:rFonts w:ascii="Times New Roman" w:hAnsi="Times New Roman" w:cs="Times New Roman"/>
                <w:sz w:val="24"/>
                <w:szCs w:val="24"/>
              </w:rPr>
              <w:t>от 29.12.2006 № 244-ФЗ.</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4E6B75" w:rsidRPr="00CD1DF2" w:rsidRDefault="004E6B75" w:rsidP="00CD1DF2">
            <w:pPr>
              <w:pStyle w:val="a5"/>
              <w:ind w:firstLine="317"/>
              <w:jc w:val="both"/>
              <w:rPr>
                <w:rFonts w:ascii="Times New Roman" w:hAnsi="Times New Roman" w:cs="Times New Roman"/>
                <w:sz w:val="24"/>
                <w:szCs w:val="24"/>
              </w:rPr>
            </w:pPr>
            <w:bookmarkStart w:id="5" w:name="Par0"/>
            <w:bookmarkEnd w:id="5"/>
            <w:proofErr w:type="gramStart"/>
            <w:r w:rsidRPr="00CD1DF2">
              <w:rPr>
                <w:rFonts w:ascii="Times New Roman" w:hAnsi="Times New Roman" w:cs="Times New Roman"/>
                <w:sz w:val="24"/>
                <w:szCs w:val="24"/>
              </w:rPr>
              <w:t>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w:t>
            </w:r>
            <w:proofErr w:type="gramEnd"/>
            <w:r w:rsidRPr="00CD1DF2">
              <w:rPr>
                <w:rFonts w:ascii="Times New Roman" w:hAnsi="Times New Roman" w:cs="Times New Roman"/>
                <w:sz w:val="24"/>
                <w:szCs w:val="24"/>
              </w:rPr>
              <w:t>,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4E6B75" w:rsidRPr="00CD1DF2" w:rsidRDefault="004E6B75"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Бухгалтерская (финансовая) отчетность организатора азартных игр подлежит обязательной ежегодной аудиторской проверке.</w:t>
            </w:r>
          </w:p>
          <w:p w:rsidR="004E6B75" w:rsidRPr="00CD1DF2" w:rsidRDefault="004E6B75"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Сведения и документы, указанные в </w:t>
            </w:r>
            <w:hyperlink w:anchor="Par0" w:history="1">
              <w:r w:rsidRPr="00CD1DF2">
                <w:rPr>
                  <w:rFonts w:ascii="Times New Roman" w:hAnsi="Times New Roman" w:cs="Times New Roman"/>
                  <w:sz w:val="24"/>
                  <w:szCs w:val="24"/>
                </w:rPr>
                <w:t>части 11</w:t>
              </w:r>
            </w:hyperlink>
            <w:r w:rsidRPr="00CD1DF2">
              <w:rPr>
                <w:rFonts w:ascii="Times New Roman" w:hAnsi="Times New Roman" w:cs="Times New Roman"/>
                <w:sz w:val="24"/>
                <w:szCs w:val="24"/>
              </w:rP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406B82" w:rsidRPr="00CD1DF2" w:rsidRDefault="00406B82" w:rsidP="00CD1DF2">
            <w:pPr>
              <w:pStyle w:val="a5"/>
              <w:ind w:firstLine="317"/>
              <w:jc w:val="both"/>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1A07CB">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44792E" w:rsidRPr="0044792E" w:rsidTr="00E86202">
        <w:trPr>
          <w:trHeight w:val="950"/>
        </w:trPr>
        <w:tc>
          <w:tcPr>
            <w:tcW w:w="2694" w:type="dxa"/>
            <w:tcBorders>
              <w:top w:val="single" w:sz="4" w:space="0" w:color="auto"/>
              <w:bottom w:val="single" w:sz="4" w:space="0" w:color="auto"/>
            </w:tcBorders>
          </w:tcPr>
          <w:p w:rsidR="006D7CFE" w:rsidRPr="00860679" w:rsidRDefault="006D7CFE" w:rsidP="006D7CFE">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м</w:t>
            </w:r>
            <w:r w:rsidRPr="00860679">
              <w:rPr>
                <w:rFonts w:ascii="Times New Roman" w:eastAsia="Times New Roman" w:hAnsi="Times New Roman" w:cs="Times New Roman"/>
                <w:b/>
                <w:sz w:val="24"/>
                <w:szCs w:val="24"/>
                <w:u w:val="single"/>
              </w:rPr>
              <w:t>»</w:t>
            </w:r>
          </w:p>
          <w:p w:rsidR="00406B82" w:rsidRPr="0044792E" w:rsidRDefault="006D7CFE"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облюдение лицензиатом требований, установленных </w:t>
            </w:r>
            <w:hyperlink r:id="rId30" w:anchor="dst88" w:history="1">
              <w:r w:rsidR="00406B82" w:rsidRPr="0044792E">
                <w:rPr>
                  <w:rFonts w:ascii="Times New Roman" w:eastAsia="Times New Roman" w:hAnsi="Times New Roman" w:cs="Times New Roman"/>
                  <w:sz w:val="24"/>
                  <w:szCs w:val="24"/>
                </w:rPr>
                <w:t>частями 1</w:t>
              </w:r>
            </w:hyperlink>
            <w:r w:rsidR="00406B82" w:rsidRPr="0044792E">
              <w:rPr>
                <w:rFonts w:ascii="Times New Roman" w:eastAsia="Times New Roman" w:hAnsi="Times New Roman" w:cs="Times New Roman"/>
                <w:sz w:val="24"/>
                <w:szCs w:val="24"/>
              </w:rPr>
              <w:t> и </w:t>
            </w:r>
            <w:hyperlink r:id="rId31" w:anchor="dst93" w:history="1">
              <w:r w:rsidR="00406B82" w:rsidRPr="0044792E">
                <w:rPr>
                  <w:rFonts w:ascii="Times New Roman" w:eastAsia="Times New Roman" w:hAnsi="Times New Roman" w:cs="Times New Roman"/>
                  <w:sz w:val="24"/>
                  <w:szCs w:val="24"/>
                </w:rPr>
                <w:t>3 статьи 6.1</w:t>
              </w:r>
            </w:hyperlink>
            <w:r w:rsidR="00406B82" w:rsidRPr="0044792E">
              <w:rPr>
                <w:rFonts w:ascii="Times New Roman" w:eastAsia="Times New Roman" w:hAnsi="Times New Roman" w:cs="Times New Roman"/>
                <w:sz w:val="24"/>
                <w:szCs w:val="24"/>
              </w:rPr>
              <w:t> </w:t>
            </w:r>
            <w:r w:rsidR="00A3699D" w:rsidRPr="0044792E">
              <w:rPr>
                <w:rFonts w:ascii="Times New Roman" w:hAnsi="Times New Roman" w:cs="Times New Roman"/>
                <w:sz w:val="24"/>
                <w:szCs w:val="24"/>
                <w:shd w:val="clear" w:color="auto" w:fill="FFFFFF"/>
              </w:rPr>
              <w:t xml:space="preserve">Федерального закона </w:t>
            </w:r>
            <w:r w:rsidR="00A3699D" w:rsidRPr="0044792E">
              <w:rPr>
                <w:rFonts w:ascii="Times New Roman" w:hAnsi="Times New Roman" w:cs="Times New Roman"/>
                <w:sz w:val="24"/>
                <w:szCs w:val="24"/>
              </w:rPr>
              <w:t>от 29.12.2006 № 244-ФЗ.</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4E6B75" w:rsidRPr="00CD1DF2" w:rsidRDefault="004E6B75"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4E6B75" w:rsidRPr="00CD1DF2" w:rsidRDefault="004E6B75" w:rsidP="00CD1DF2">
            <w:pPr>
              <w:pStyle w:val="a5"/>
              <w:ind w:firstLine="317"/>
              <w:jc w:val="both"/>
              <w:rPr>
                <w:rFonts w:ascii="Times New Roman" w:hAnsi="Times New Roman" w:cs="Times New Roman"/>
                <w:sz w:val="24"/>
                <w:szCs w:val="24"/>
              </w:rPr>
            </w:pPr>
            <w:proofErr w:type="gramStart"/>
            <w:r w:rsidRPr="00CD1DF2">
              <w:rPr>
                <w:rFonts w:ascii="Times New Roman" w:hAnsi="Times New Roman" w:cs="Times New Roman"/>
                <w:sz w:val="24"/>
                <w:szCs w:val="24"/>
              </w:rPr>
              <w:t xml:space="preserve">1) принимать ставки, интерактивные ставки на официальные спортивные соревнования и выплачивать соответствующие выигрыши, суммы которых превышают размер дохода, не подлежащего налогообложению в соответствии с </w:t>
            </w:r>
            <w:hyperlink r:id="rId32" w:history="1">
              <w:r w:rsidRPr="00CD1DF2">
                <w:rPr>
                  <w:rFonts w:ascii="Times New Roman" w:hAnsi="Times New Roman" w:cs="Times New Roman"/>
                  <w:sz w:val="24"/>
                  <w:szCs w:val="24"/>
                </w:rPr>
                <w:t>частью второй</w:t>
              </w:r>
            </w:hyperlink>
            <w:r w:rsidRPr="00CD1DF2">
              <w:rPr>
                <w:rFonts w:ascii="Times New Roman" w:hAnsi="Times New Roman" w:cs="Times New Roman"/>
                <w:sz w:val="24"/>
                <w:szCs w:val="24"/>
              </w:rPr>
              <w:t xml:space="preserve"> Налогового кодекса Российской Федерации,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33" w:history="1">
              <w:r w:rsidRPr="00CD1DF2">
                <w:rPr>
                  <w:rFonts w:ascii="Times New Roman" w:hAnsi="Times New Roman" w:cs="Times New Roman"/>
                  <w:sz w:val="24"/>
                  <w:szCs w:val="24"/>
                </w:rPr>
                <w:t>законом</w:t>
              </w:r>
            </w:hyperlink>
            <w:r w:rsidRPr="00CD1DF2">
              <w:rPr>
                <w:rFonts w:ascii="Times New Roman" w:hAnsi="Times New Roman" w:cs="Times New Roman"/>
                <w:sz w:val="24"/>
                <w:szCs w:val="24"/>
              </w:rPr>
              <w:t xml:space="preserve"> от 7 августа 2001 года N 115-ФЗ "О противодействии легализации</w:t>
            </w:r>
            <w:proofErr w:type="gramEnd"/>
            <w:r w:rsidRPr="00CD1DF2">
              <w:rPr>
                <w:rFonts w:ascii="Times New Roman" w:hAnsi="Times New Roman" w:cs="Times New Roman"/>
                <w:sz w:val="24"/>
                <w:szCs w:val="24"/>
              </w:rPr>
              <w:t xml:space="preserve">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4E6B75" w:rsidRPr="00CD1DF2" w:rsidRDefault="004E6B75" w:rsidP="00CD1DF2">
            <w:pPr>
              <w:pStyle w:val="a5"/>
              <w:ind w:firstLine="317"/>
              <w:jc w:val="both"/>
              <w:rPr>
                <w:rFonts w:ascii="Times New Roman" w:hAnsi="Times New Roman" w:cs="Times New Roman"/>
                <w:sz w:val="24"/>
                <w:szCs w:val="24"/>
              </w:rPr>
            </w:pPr>
            <w:proofErr w:type="gramStart"/>
            <w:r w:rsidRPr="00CD1DF2">
              <w:rPr>
                <w:rFonts w:ascii="Times New Roman" w:hAnsi="Times New Roman" w:cs="Times New Roman"/>
                <w:sz w:val="24"/>
                <w:szCs w:val="24"/>
              </w:rP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w:t>
            </w:r>
            <w:proofErr w:type="gramEnd"/>
            <w:r w:rsidRPr="00CD1DF2">
              <w:rPr>
                <w:rFonts w:ascii="Times New Roman" w:hAnsi="Times New Roman" w:cs="Times New Roman"/>
                <w:sz w:val="24"/>
                <w:szCs w:val="24"/>
              </w:rPr>
              <w:t xml:space="preserve">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4E6B75" w:rsidRPr="00CD1DF2" w:rsidRDefault="004E6B75" w:rsidP="00CD1DF2">
            <w:pPr>
              <w:pStyle w:val="a5"/>
              <w:ind w:firstLine="317"/>
              <w:jc w:val="both"/>
              <w:rPr>
                <w:rFonts w:ascii="Times New Roman" w:hAnsi="Times New Roman" w:cs="Times New Roman"/>
                <w:sz w:val="24"/>
                <w:szCs w:val="24"/>
              </w:rPr>
            </w:pPr>
            <w:proofErr w:type="gramStart"/>
            <w:r w:rsidRPr="00CD1DF2">
              <w:rPr>
                <w:rFonts w:ascii="Times New Roman" w:hAnsi="Times New Roman" w:cs="Times New Roman"/>
                <w:sz w:val="24"/>
                <w:szCs w:val="24"/>
              </w:rPr>
              <w:t>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w:t>
            </w:r>
            <w:proofErr w:type="gramEnd"/>
            <w:r w:rsidRPr="00CD1DF2">
              <w:rPr>
                <w:rFonts w:ascii="Times New Roman" w:hAnsi="Times New Roman" w:cs="Times New Roman"/>
                <w:sz w:val="24"/>
                <w:szCs w:val="24"/>
              </w:rPr>
              <w:t xml:space="preserve"> Порядок ведения учета и представления данных, их </w:t>
            </w:r>
            <w:proofErr w:type="gramStart"/>
            <w:r w:rsidRPr="00CD1DF2">
              <w:rPr>
                <w:rFonts w:ascii="Times New Roman" w:hAnsi="Times New Roman" w:cs="Times New Roman"/>
                <w:sz w:val="24"/>
                <w:szCs w:val="24"/>
              </w:rPr>
              <w:t>объем</w:t>
            </w:r>
            <w:proofErr w:type="gramEnd"/>
            <w:r w:rsidRPr="00CD1DF2">
              <w:rPr>
                <w:rFonts w:ascii="Times New Roman" w:hAnsi="Times New Roman" w:cs="Times New Roman"/>
                <w:sz w:val="24"/>
                <w:szCs w:val="24"/>
              </w:rPr>
              <w:t xml:space="preserve"> и содержание устанавливаются Правительством Российской Федерации.</w:t>
            </w:r>
          </w:p>
          <w:p w:rsidR="004E6B75" w:rsidRPr="00CD1DF2" w:rsidRDefault="004E6B75" w:rsidP="00CD1DF2">
            <w:pPr>
              <w:pStyle w:val="a5"/>
              <w:ind w:firstLine="317"/>
              <w:jc w:val="both"/>
              <w:rPr>
                <w:rFonts w:ascii="Times New Roman" w:hAnsi="Times New Roman" w:cs="Times New Roman"/>
                <w:sz w:val="24"/>
                <w:szCs w:val="24"/>
              </w:rPr>
            </w:pPr>
            <w:proofErr w:type="gramStart"/>
            <w:r w:rsidRPr="00CD1DF2">
              <w:rPr>
                <w:rFonts w:ascii="Times New Roman" w:hAnsi="Times New Roman" w:cs="Times New Roman"/>
                <w:sz w:val="24"/>
                <w:szCs w:val="24"/>
              </w:rPr>
              <w:t xml:space="preserve">Предусмотренное </w:t>
            </w:r>
            <w:hyperlink r:id="rId34" w:history="1">
              <w:r w:rsidRPr="00CD1DF2">
                <w:rPr>
                  <w:rFonts w:ascii="Times New Roman" w:hAnsi="Times New Roman" w:cs="Times New Roman"/>
                  <w:sz w:val="24"/>
                  <w:szCs w:val="24"/>
                </w:rPr>
                <w:t>пунктом 1 части 1</w:t>
              </w:r>
            </w:hyperlink>
            <w:r w:rsidRPr="00CD1DF2">
              <w:rPr>
                <w:rFonts w:ascii="Times New Roman" w:hAnsi="Times New Roman" w:cs="Times New Roman"/>
                <w:sz w:val="24"/>
                <w:szCs w:val="24"/>
              </w:rP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hyperlink r:id="rId35" w:history="1">
              <w:r w:rsidRPr="00CD1DF2">
                <w:rPr>
                  <w:rFonts w:ascii="Times New Roman" w:hAnsi="Times New Roman" w:cs="Times New Roman"/>
                  <w:sz w:val="24"/>
                  <w:szCs w:val="24"/>
                </w:rPr>
                <w:t>законом</w:t>
              </w:r>
            </w:hyperlink>
            <w:r w:rsidRPr="00CD1DF2">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w:t>
            </w:r>
            <w:proofErr w:type="gramEnd"/>
            <w:r w:rsidRPr="00CD1DF2">
              <w:rPr>
                <w:rFonts w:ascii="Times New Roman" w:hAnsi="Times New Roman" w:cs="Times New Roman"/>
                <w:sz w:val="24"/>
                <w:szCs w:val="24"/>
              </w:rPr>
              <w:t xml:space="preserve">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406B82" w:rsidRPr="00CD1DF2" w:rsidRDefault="00406B82" w:rsidP="00CD1DF2">
            <w:pPr>
              <w:pStyle w:val="a5"/>
              <w:ind w:firstLine="317"/>
              <w:jc w:val="both"/>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rPr>
              <w:t>Часть 3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r w:rsidR="0044792E" w:rsidRPr="0044792E" w:rsidTr="00C17088">
        <w:trPr>
          <w:trHeight w:val="452"/>
        </w:trPr>
        <w:tc>
          <w:tcPr>
            <w:tcW w:w="2694" w:type="dxa"/>
            <w:tcBorders>
              <w:top w:val="single" w:sz="4" w:space="0" w:color="auto"/>
              <w:bottom w:val="single" w:sz="4" w:space="0" w:color="auto"/>
            </w:tcBorders>
          </w:tcPr>
          <w:p w:rsidR="006D7CFE" w:rsidRPr="00860679" w:rsidRDefault="006D7CFE" w:rsidP="006D7CFE">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н</w:t>
            </w:r>
            <w:r w:rsidRPr="00860679">
              <w:rPr>
                <w:rFonts w:ascii="Times New Roman" w:eastAsia="Times New Roman" w:hAnsi="Times New Roman" w:cs="Times New Roman"/>
                <w:b/>
                <w:sz w:val="24"/>
                <w:szCs w:val="24"/>
                <w:u w:val="single"/>
              </w:rPr>
              <w:t>»</w:t>
            </w:r>
          </w:p>
          <w:p w:rsidR="00406B82" w:rsidRPr="0044792E" w:rsidRDefault="006D7CFE"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облюдение лицензиатом требований к организаторам азартных игр, установленных Правительством Российской Федерации в соответствии с </w:t>
            </w:r>
            <w:hyperlink r:id="rId36" w:anchor="dst100197" w:history="1">
              <w:r w:rsidR="00406B82" w:rsidRPr="0044792E">
                <w:rPr>
                  <w:rFonts w:ascii="Times New Roman" w:eastAsia="Times New Roman" w:hAnsi="Times New Roman" w:cs="Times New Roman"/>
                  <w:sz w:val="24"/>
                  <w:szCs w:val="24"/>
                </w:rPr>
                <w:t>частью 15 статьи 6</w:t>
              </w:r>
            </w:hyperlink>
            <w:r w:rsidR="00406B82" w:rsidRPr="0044792E">
              <w:rPr>
                <w:rFonts w:ascii="Times New Roman" w:eastAsia="Times New Roman" w:hAnsi="Times New Roman" w:cs="Times New Roman"/>
                <w:sz w:val="24"/>
                <w:szCs w:val="24"/>
              </w:rPr>
              <w:t> </w:t>
            </w:r>
            <w:r w:rsidR="00A3699D" w:rsidRPr="0044792E">
              <w:rPr>
                <w:rFonts w:ascii="Times New Roman" w:hAnsi="Times New Roman" w:cs="Times New Roman"/>
                <w:sz w:val="24"/>
                <w:szCs w:val="24"/>
                <w:shd w:val="clear" w:color="auto" w:fill="FFFFFF"/>
              </w:rPr>
              <w:t xml:space="preserve">Федерального закона </w:t>
            </w:r>
            <w:r w:rsidR="00A3699D" w:rsidRPr="0044792E">
              <w:rPr>
                <w:rFonts w:ascii="Times New Roman" w:hAnsi="Times New Roman" w:cs="Times New Roman"/>
                <w:sz w:val="24"/>
                <w:szCs w:val="24"/>
              </w:rPr>
              <w:t>от 29.12.2006 № 244-ФЗ</w:t>
            </w:r>
          </w:p>
          <w:p w:rsidR="00406B82" w:rsidRPr="0044792E" w:rsidRDefault="00406B82" w:rsidP="00406B82">
            <w:pPr>
              <w:shd w:val="clear" w:color="auto" w:fill="FFFFFF"/>
              <w:spacing w:line="290" w:lineRule="atLeast"/>
              <w:jc w:val="both"/>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CD42DB" w:rsidRPr="0044792E" w:rsidRDefault="00CD42DB" w:rsidP="00CD42DB">
            <w:pPr>
              <w:autoSpaceDE w:val="0"/>
              <w:autoSpaceDN w:val="0"/>
              <w:adjustRightInd w:val="0"/>
              <w:ind w:firstLine="540"/>
              <w:jc w:val="both"/>
              <w:rPr>
                <w:rFonts w:ascii="Times New Roman" w:hAnsi="Times New Roman" w:cs="Times New Roman"/>
                <w:sz w:val="24"/>
                <w:szCs w:val="24"/>
              </w:rPr>
            </w:pPr>
            <w:r w:rsidRPr="0044792E">
              <w:rPr>
                <w:rFonts w:ascii="Times New Roman" w:hAnsi="Times New Roman" w:cs="Times New Roman"/>
                <w:sz w:val="24"/>
                <w:szCs w:val="24"/>
              </w:rPr>
              <w:t>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406B82" w:rsidRPr="0044792E" w:rsidRDefault="00406B82">
            <w:pPr>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9F3E17">
            <w:pPr>
              <w:rPr>
                <w:rFonts w:ascii="Times New Roman" w:hAnsi="Times New Roman" w:cs="Times New Roman"/>
                <w:sz w:val="24"/>
                <w:szCs w:val="24"/>
              </w:rPr>
            </w:pPr>
            <w:r w:rsidRPr="0044792E">
              <w:rPr>
                <w:rFonts w:ascii="Times New Roman" w:hAnsi="Times New Roman" w:cs="Times New Roman"/>
                <w:sz w:val="24"/>
                <w:szCs w:val="24"/>
              </w:rPr>
              <w:t>Часть 4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tc>
      </w:tr>
      <w:tr w:rsidR="0044792E" w:rsidRPr="0044792E" w:rsidTr="00E86202">
        <w:trPr>
          <w:trHeight w:val="736"/>
        </w:trPr>
        <w:tc>
          <w:tcPr>
            <w:tcW w:w="2694" w:type="dxa"/>
            <w:tcBorders>
              <w:top w:val="single" w:sz="4" w:space="0" w:color="auto"/>
              <w:bottom w:val="single" w:sz="4" w:space="0" w:color="auto"/>
            </w:tcBorders>
          </w:tcPr>
          <w:p w:rsidR="006D7CFE" w:rsidRPr="00860679" w:rsidRDefault="006D7CFE" w:rsidP="006D7CFE">
            <w:pPr>
              <w:shd w:val="clear" w:color="auto" w:fill="FFFFFF"/>
              <w:spacing w:line="290" w:lineRule="atLeast"/>
              <w:jc w:val="center"/>
              <w:rPr>
                <w:rFonts w:ascii="Times New Roman" w:eastAsia="Times New Roman" w:hAnsi="Times New Roman" w:cs="Times New Roman"/>
                <w:b/>
                <w:sz w:val="24"/>
                <w:szCs w:val="24"/>
                <w:u w:val="single"/>
              </w:rPr>
            </w:pPr>
            <w:r w:rsidRPr="00860679">
              <w:rPr>
                <w:rFonts w:ascii="Times New Roman" w:hAnsi="Times New Roman" w:cs="Times New Roman"/>
                <w:b/>
                <w:sz w:val="24"/>
                <w:szCs w:val="24"/>
                <w:u w:val="single"/>
                <w:shd w:val="clear" w:color="auto" w:fill="FFFFFF"/>
              </w:rPr>
              <w:t>Подпункт</w:t>
            </w:r>
            <w:r w:rsidRPr="00860679">
              <w:rPr>
                <w:rFonts w:ascii="Times New Roman" w:eastAsia="Times New Roman" w:hAnsi="Times New Roman" w:cs="Times New Roman"/>
                <w:b/>
                <w:sz w:val="24"/>
                <w:szCs w:val="24"/>
                <w:u w:val="single"/>
              </w:rPr>
              <w:t xml:space="preserve"> «</w:t>
            </w:r>
            <w:r w:rsidR="00406B82" w:rsidRPr="00860679">
              <w:rPr>
                <w:rFonts w:ascii="Times New Roman" w:eastAsia="Times New Roman" w:hAnsi="Times New Roman" w:cs="Times New Roman"/>
                <w:b/>
                <w:sz w:val="24"/>
                <w:szCs w:val="24"/>
                <w:u w:val="single"/>
              </w:rPr>
              <w:t>о</w:t>
            </w:r>
            <w:r w:rsidRPr="00860679">
              <w:rPr>
                <w:rFonts w:ascii="Times New Roman" w:eastAsia="Times New Roman" w:hAnsi="Times New Roman" w:cs="Times New Roman"/>
                <w:b/>
                <w:sz w:val="24"/>
                <w:szCs w:val="24"/>
                <w:u w:val="single"/>
              </w:rPr>
              <w:t>»</w:t>
            </w:r>
          </w:p>
          <w:p w:rsidR="00406B82" w:rsidRPr="0044792E" w:rsidRDefault="006D7CFE" w:rsidP="00406B82">
            <w:pPr>
              <w:shd w:val="clear" w:color="auto" w:fill="FFFFFF"/>
              <w:spacing w:line="290" w:lineRule="atLeast"/>
              <w:jc w:val="both"/>
              <w:rPr>
                <w:rFonts w:ascii="Times New Roman" w:eastAsia="Times New Roman" w:hAnsi="Times New Roman" w:cs="Times New Roman"/>
                <w:sz w:val="24"/>
                <w:szCs w:val="24"/>
              </w:rPr>
            </w:pPr>
            <w:r w:rsidRPr="0044792E">
              <w:rPr>
                <w:rFonts w:ascii="Times New Roman" w:eastAsia="Times New Roman" w:hAnsi="Times New Roman" w:cs="Times New Roman"/>
                <w:sz w:val="24"/>
                <w:szCs w:val="24"/>
              </w:rPr>
              <w:t>С</w:t>
            </w:r>
            <w:r w:rsidR="00406B82" w:rsidRPr="0044792E">
              <w:rPr>
                <w:rFonts w:ascii="Times New Roman" w:eastAsia="Times New Roman" w:hAnsi="Times New Roman" w:cs="Times New Roman"/>
                <w:sz w:val="24"/>
                <w:szCs w:val="24"/>
              </w:rPr>
              <w:t>облюдение лицензиатом, оказывающим в букмекерской конторе услуги по заключению с участниками азартных игр основанных на риске соглашений о выигрыше, требований, установленных </w:t>
            </w:r>
            <w:hyperlink r:id="rId37" w:anchor="dst100199" w:history="1">
              <w:r w:rsidR="00406B82" w:rsidRPr="0044792E">
                <w:rPr>
                  <w:rFonts w:ascii="Times New Roman" w:eastAsia="Times New Roman" w:hAnsi="Times New Roman" w:cs="Times New Roman"/>
                  <w:sz w:val="24"/>
                  <w:szCs w:val="24"/>
                </w:rPr>
                <w:t>статьей 6.2</w:t>
              </w:r>
            </w:hyperlink>
            <w:r w:rsidR="00406B82" w:rsidRPr="0044792E">
              <w:rPr>
                <w:rFonts w:ascii="Times New Roman" w:eastAsia="Times New Roman" w:hAnsi="Times New Roman" w:cs="Times New Roman"/>
                <w:sz w:val="24"/>
                <w:szCs w:val="24"/>
              </w:rPr>
              <w:t> </w:t>
            </w:r>
            <w:r w:rsidR="00A3699D" w:rsidRPr="0044792E">
              <w:rPr>
                <w:rFonts w:ascii="Times New Roman" w:hAnsi="Times New Roman" w:cs="Times New Roman"/>
                <w:sz w:val="24"/>
                <w:szCs w:val="24"/>
                <w:shd w:val="clear" w:color="auto" w:fill="FFFFFF"/>
              </w:rPr>
              <w:t xml:space="preserve">Федерального закона </w:t>
            </w:r>
            <w:r w:rsidR="00A3699D" w:rsidRPr="0044792E">
              <w:rPr>
                <w:rFonts w:ascii="Times New Roman" w:hAnsi="Times New Roman" w:cs="Times New Roman"/>
                <w:sz w:val="24"/>
                <w:szCs w:val="24"/>
              </w:rPr>
              <w:t>от 29.12.2006 № 244-ФЗ</w:t>
            </w:r>
            <w:r w:rsidR="00406B82" w:rsidRPr="0044792E">
              <w:rPr>
                <w:rFonts w:ascii="Times New Roman" w:eastAsia="Times New Roman" w:hAnsi="Times New Roman" w:cs="Times New Roman"/>
                <w:sz w:val="24"/>
                <w:szCs w:val="24"/>
              </w:rPr>
              <w:t>.</w:t>
            </w:r>
          </w:p>
          <w:p w:rsidR="00406B82" w:rsidRPr="0044792E" w:rsidRDefault="00406B82" w:rsidP="00406B82">
            <w:pPr>
              <w:rPr>
                <w:rFonts w:ascii="Times New Roman" w:eastAsia="Times New Roman" w:hAnsi="Times New Roman" w:cs="Times New Roman"/>
                <w:sz w:val="24"/>
                <w:szCs w:val="24"/>
              </w:rPr>
            </w:pPr>
          </w:p>
        </w:tc>
        <w:tc>
          <w:tcPr>
            <w:tcW w:w="7371" w:type="dxa"/>
            <w:tcBorders>
              <w:top w:val="single" w:sz="4" w:space="0" w:color="auto"/>
              <w:bottom w:val="single" w:sz="4" w:space="0" w:color="auto"/>
            </w:tcBorders>
          </w:tcPr>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1. </w:t>
            </w:r>
            <w:proofErr w:type="gramStart"/>
            <w:r w:rsidRPr="00CD1DF2">
              <w:rPr>
                <w:rFonts w:ascii="Times New Roman" w:hAnsi="Times New Roman" w:cs="Times New Roman"/>
                <w:sz w:val="24"/>
                <w:szCs w:val="24"/>
              </w:rPr>
              <w:t>Организатор азартных игр в букмекерской конторе, заключающий пари на спортивные мероприятия, обязан заключать соглашения об использовании символики, наименований спортивных мероприятий с субъектами профессионального спорта, а именно общероссийскими спортивными федерациями, профессиональными спортивными лигами, организующими спортивные мероприятия, в отношении которых он принимает ставки, и на основании таких соглашений осуществлять целевые отчисления от азартных игр (далее - целевые отчисления), направляемые на финансирование мероприятий по</w:t>
            </w:r>
            <w:proofErr w:type="gramEnd"/>
            <w:r w:rsidRPr="00CD1DF2">
              <w:rPr>
                <w:rFonts w:ascii="Times New Roman" w:hAnsi="Times New Roman" w:cs="Times New Roman"/>
                <w:sz w:val="24"/>
                <w:szCs w:val="24"/>
              </w:rPr>
              <w:t xml:space="preserve"> развитию профессионального спорта и детско-юношеского спорта. </w:t>
            </w:r>
            <w:hyperlink r:id="rId38" w:history="1">
              <w:proofErr w:type="gramStart"/>
              <w:r w:rsidRPr="00CD1DF2">
                <w:rPr>
                  <w:rFonts w:ascii="Times New Roman" w:hAnsi="Times New Roman" w:cs="Times New Roman"/>
                  <w:sz w:val="24"/>
                  <w:szCs w:val="24"/>
                </w:rPr>
                <w:t>Порядок</w:t>
              </w:r>
            </w:hyperlink>
            <w:r w:rsidRPr="00CD1DF2">
              <w:rPr>
                <w:rFonts w:ascii="Times New Roman" w:hAnsi="Times New Roman" w:cs="Times New Roman"/>
                <w:sz w:val="24"/>
                <w:szCs w:val="24"/>
              </w:rPr>
              <w:t xml:space="preserve"> заключения таких соглашений, </w:t>
            </w:r>
            <w:hyperlink r:id="rId39" w:history="1">
              <w:r w:rsidRPr="00CD1DF2">
                <w:rPr>
                  <w:rFonts w:ascii="Times New Roman" w:hAnsi="Times New Roman" w:cs="Times New Roman"/>
                  <w:sz w:val="24"/>
                  <w:szCs w:val="24"/>
                </w:rPr>
                <w:t>обязательные условия</w:t>
              </w:r>
            </w:hyperlink>
            <w:r w:rsidRPr="00CD1DF2">
              <w:rPr>
                <w:rFonts w:ascii="Times New Roman" w:hAnsi="Times New Roman" w:cs="Times New Roman"/>
                <w:sz w:val="24"/>
                <w:szCs w:val="24"/>
              </w:rPr>
              <w:t xml:space="preserve"> таких соглашений, включающие порядок направления соответствующих целевых отчислений, примерная </w:t>
            </w:r>
            <w:hyperlink r:id="rId40" w:history="1">
              <w:r w:rsidRPr="00CD1DF2">
                <w:rPr>
                  <w:rFonts w:ascii="Times New Roman" w:hAnsi="Times New Roman" w:cs="Times New Roman"/>
                  <w:sz w:val="24"/>
                  <w:szCs w:val="24"/>
                </w:rPr>
                <w:t>форма</w:t>
              </w:r>
            </w:hyperlink>
            <w:r w:rsidRPr="00CD1DF2">
              <w:rPr>
                <w:rFonts w:ascii="Times New Roman" w:hAnsi="Times New Roman" w:cs="Times New Roman"/>
                <w:sz w:val="24"/>
                <w:szCs w:val="24"/>
              </w:rPr>
              <w:t xml:space="preserve"> таких соглашений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w:t>
            </w:r>
            <w:proofErr w:type="gramEnd"/>
            <w:r w:rsidRPr="00CD1DF2">
              <w:rPr>
                <w:rFonts w:ascii="Times New Roman" w:hAnsi="Times New Roman" w:cs="Times New Roman"/>
                <w:sz w:val="24"/>
                <w:szCs w:val="24"/>
              </w:rPr>
              <w:t xml:space="preserve"> сфере физической культуры и спорта (далее - федеральный орган исполнительной власти в области физической культуры и спорта).</w:t>
            </w:r>
          </w:p>
          <w:p w:rsidR="00CD42DB" w:rsidRPr="00CD1DF2" w:rsidRDefault="00CD42DB" w:rsidP="00CD1DF2">
            <w:pPr>
              <w:pStyle w:val="a5"/>
              <w:ind w:firstLine="317"/>
              <w:jc w:val="both"/>
              <w:rPr>
                <w:rFonts w:ascii="Times New Roman" w:hAnsi="Times New Roman" w:cs="Times New Roman"/>
                <w:sz w:val="24"/>
                <w:szCs w:val="24"/>
              </w:rPr>
            </w:pPr>
            <w:bookmarkStart w:id="6" w:name="Par1"/>
            <w:bookmarkEnd w:id="6"/>
            <w:r w:rsidRPr="00CD1DF2">
              <w:rPr>
                <w:rFonts w:ascii="Times New Roman" w:hAnsi="Times New Roman" w:cs="Times New Roman"/>
                <w:sz w:val="24"/>
                <w:szCs w:val="24"/>
              </w:rPr>
              <w:t xml:space="preserve">2. База расчета целевых отчислений определяется организатором азартных игр в букмекерской конторе в соответствии с </w:t>
            </w:r>
            <w:hyperlink r:id="rId41" w:history="1">
              <w:r w:rsidRPr="00CD1DF2">
                <w:rPr>
                  <w:rFonts w:ascii="Times New Roman" w:hAnsi="Times New Roman" w:cs="Times New Roman"/>
                  <w:sz w:val="24"/>
                  <w:szCs w:val="24"/>
                </w:rPr>
                <w:t>правилами</w:t>
              </w:r>
            </w:hyperlink>
            <w:r w:rsidRPr="00CD1DF2">
              <w:rPr>
                <w:rFonts w:ascii="Times New Roman" w:hAnsi="Times New Roman" w:cs="Times New Roman"/>
                <w:sz w:val="24"/>
                <w:szCs w:val="24"/>
              </w:rPr>
              <w:t>, утвержденными Правительством Российской Федерации.</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3. Целевые отчисления по каждому соглашению, заключенному в соответствии с настоящей статьей, устанавливаются в размере пяти процентов от базы расчета целевых отчислений, определяемой в соответствии с </w:t>
            </w:r>
            <w:hyperlink w:anchor="Par1" w:history="1">
              <w:r w:rsidRPr="00CD1DF2">
                <w:rPr>
                  <w:rFonts w:ascii="Times New Roman" w:hAnsi="Times New Roman" w:cs="Times New Roman"/>
                  <w:sz w:val="24"/>
                  <w:szCs w:val="24"/>
                </w:rPr>
                <w:t>частью 2</w:t>
              </w:r>
            </w:hyperlink>
            <w:r w:rsidRPr="00CD1DF2">
              <w:rPr>
                <w:rFonts w:ascii="Times New Roman" w:hAnsi="Times New Roman" w:cs="Times New Roman"/>
                <w:sz w:val="24"/>
                <w:szCs w:val="24"/>
              </w:rPr>
              <w:t xml:space="preserve"> настоящей статьи в отношении использования символики, наименований спортивных мероприятий, указанных в данном соглашении, и рассчитываются самостоятельно каждым организатором азартных игр в букмекерской конторе. При этом общий объем целевых отчислений по всем заключенным организатором азартных игр в букмекерской конторе соглашениям не может составлять менее пятнадцати миллионов рублей.</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4. Организатор азартных игр в букмекерской конторе уплачивает суммы целевых отчислений не позднее десяти дней со дня окончания квартала, в котором возникла база расчета целевых отчислений. Отсчет кварталов ведется с начала календарного года.</w:t>
            </w:r>
          </w:p>
          <w:p w:rsidR="00CD42DB" w:rsidRPr="00CD1DF2" w:rsidRDefault="00CD42DB" w:rsidP="00CD1DF2">
            <w:pPr>
              <w:pStyle w:val="a5"/>
              <w:ind w:firstLine="317"/>
              <w:jc w:val="both"/>
              <w:rPr>
                <w:rFonts w:ascii="Times New Roman" w:hAnsi="Times New Roman" w:cs="Times New Roman"/>
                <w:sz w:val="24"/>
                <w:szCs w:val="24"/>
              </w:rPr>
            </w:pPr>
            <w:bookmarkStart w:id="7" w:name="Par4"/>
            <w:bookmarkEnd w:id="7"/>
            <w:r w:rsidRPr="00CD1DF2">
              <w:rPr>
                <w:rFonts w:ascii="Times New Roman" w:hAnsi="Times New Roman" w:cs="Times New Roman"/>
                <w:sz w:val="24"/>
                <w:szCs w:val="24"/>
              </w:rPr>
              <w:t xml:space="preserve">5. </w:t>
            </w:r>
            <w:proofErr w:type="gramStart"/>
            <w:r w:rsidRPr="00CD1DF2">
              <w:rPr>
                <w:rFonts w:ascii="Times New Roman" w:hAnsi="Times New Roman" w:cs="Times New Roman"/>
                <w:sz w:val="24"/>
                <w:szCs w:val="24"/>
              </w:rPr>
              <w:t>Не позднее двадцати дней со дня окончания квартала, в котором возникла база расчета целевых отчислений, организатор азартных игр в букмекерской конторе представляет общероссийским спортивным федерациям, профессиональным спортивным лигам информацию о принятых ставках в отношении спортивных мероприятий, организованных соответствующими общероссийскими спортивными федерациями, профессиональными спортивными лигами, о выплаченных выигрышах, а также об объеме подлежащих уплате и фактически уплаченных сумм целевых отчислений.</w:t>
            </w:r>
            <w:proofErr w:type="gramEnd"/>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6. В случае</w:t>
            </w:r>
            <w:proofErr w:type="gramStart"/>
            <w:r w:rsidRPr="00CD1DF2">
              <w:rPr>
                <w:rFonts w:ascii="Times New Roman" w:hAnsi="Times New Roman" w:cs="Times New Roman"/>
                <w:sz w:val="24"/>
                <w:szCs w:val="24"/>
              </w:rPr>
              <w:t>,</w:t>
            </w:r>
            <w:proofErr w:type="gramEnd"/>
            <w:r w:rsidRPr="00CD1DF2">
              <w:rPr>
                <w:rFonts w:ascii="Times New Roman" w:hAnsi="Times New Roman" w:cs="Times New Roman"/>
                <w:sz w:val="24"/>
                <w:szCs w:val="24"/>
              </w:rPr>
              <w:t xml:space="preserve"> если целевые отчисления не уплачены или уплачены не в полном объеме, общероссийские спортивные федерации, профессиональные спортивные лиги обращаются в суд с иском о взыскании целевых отчислений.</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7. </w:t>
            </w:r>
            <w:proofErr w:type="gramStart"/>
            <w:r w:rsidRPr="00CD1DF2">
              <w:rPr>
                <w:rFonts w:ascii="Times New Roman" w:hAnsi="Times New Roman" w:cs="Times New Roman"/>
                <w:sz w:val="24"/>
                <w:szCs w:val="24"/>
              </w:rPr>
              <w:t xml:space="preserve">Организатор азартных игр в букмекерской конторе в сроки, установленные </w:t>
            </w:r>
            <w:hyperlink w:anchor="Par4" w:history="1">
              <w:r w:rsidRPr="00CD1DF2">
                <w:rPr>
                  <w:rFonts w:ascii="Times New Roman" w:hAnsi="Times New Roman" w:cs="Times New Roman"/>
                  <w:sz w:val="24"/>
                  <w:szCs w:val="24"/>
                </w:rPr>
                <w:t>частью 5</w:t>
              </w:r>
            </w:hyperlink>
            <w:r w:rsidRPr="00CD1DF2">
              <w:rPr>
                <w:rFonts w:ascii="Times New Roman" w:hAnsi="Times New Roman" w:cs="Times New Roman"/>
                <w:sz w:val="24"/>
                <w:szCs w:val="24"/>
              </w:rPr>
              <w:t xml:space="preserve"> настоящей статьи, представляет саморегулируемой организации организаторов азартных игр в букмекерских конторах сведения о выполнении требований, предусмотренных настоящей статьей, в порядке и по форме, которые установлены саморегулируемой организацией организаторов азартных игр в букмекерских конторах.</w:t>
            </w:r>
            <w:proofErr w:type="gramEnd"/>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 xml:space="preserve">8. </w:t>
            </w:r>
            <w:proofErr w:type="gramStart"/>
            <w:r w:rsidRPr="00CD1DF2">
              <w:rPr>
                <w:rFonts w:ascii="Times New Roman" w:hAnsi="Times New Roman" w:cs="Times New Roman"/>
                <w:sz w:val="24"/>
                <w:szCs w:val="24"/>
              </w:rPr>
              <w:t>Саморегулируемая организация организаторов азартных игр в букмекерских конторах ежеквартально не позднее тридцати дней со дня окончания квартала, в котором возникла база расчета целевых отчислений, представляет в федеральный орган исполнительной власти в области физической культуры и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по форме, утвержденной уполномоченным федеральным органом исполнительной власти</w:t>
            </w:r>
            <w:proofErr w:type="gramEnd"/>
            <w:r w:rsidRPr="00CD1DF2">
              <w:rPr>
                <w:rFonts w:ascii="Times New Roman" w:hAnsi="Times New Roman" w:cs="Times New Roman"/>
                <w:sz w:val="24"/>
                <w:szCs w:val="24"/>
              </w:rPr>
              <w:t xml:space="preserve">, </w:t>
            </w:r>
            <w:proofErr w:type="gramStart"/>
            <w:r w:rsidRPr="00CD1DF2">
              <w:rPr>
                <w:rFonts w:ascii="Times New Roman" w:hAnsi="Times New Roman" w:cs="Times New Roman"/>
                <w:sz w:val="24"/>
                <w:szCs w:val="24"/>
              </w:rPr>
              <w:t>осуществляющим государственный надзор в области организации и проведения азартных игр, по согласованию с федеральным органом исполнительной власти в области физической культуры и спорта:</w:t>
            </w:r>
            <w:proofErr w:type="gramEnd"/>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1) перечень заключенных членами саморегулируемой организации организаторов азартных игр в букмекерских конторах соглашений об использовании символики, наименований спортивных мероприятий;</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2) информацию о принятых ставках в отношении спортивных мероприятий, организованных общероссийскими спортивными федерациями, профессиональными спортивными лигами, о выплаченных выигрышах;</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3) информацию об объеме подлежащих уплате и фактически уплаченных сумм целевых отчислений.</w:t>
            </w:r>
          </w:p>
          <w:p w:rsidR="00CD42DB" w:rsidRPr="00CD1DF2" w:rsidRDefault="00CD42DB" w:rsidP="00CD1DF2">
            <w:pPr>
              <w:pStyle w:val="a5"/>
              <w:ind w:firstLine="317"/>
              <w:jc w:val="both"/>
              <w:rPr>
                <w:rFonts w:ascii="Times New Roman" w:hAnsi="Times New Roman" w:cs="Times New Roman"/>
                <w:sz w:val="24"/>
                <w:szCs w:val="24"/>
              </w:rPr>
            </w:pPr>
            <w:r w:rsidRPr="00CD1DF2">
              <w:rPr>
                <w:rFonts w:ascii="Times New Roman" w:hAnsi="Times New Roman" w:cs="Times New Roman"/>
                <w:sz w:val="24"/>
                <w:szCs w:val="24"/>
              </w:rPr>
              <w:t>9. Уполномоченный федеральный орган исполнительной власти, осуществляющий государственный надзор в области организации и проведения азартных игр, при выявлении фактов нарушения организатором азартных игр в букмекерской конторе требований, установленных настоящей статьей, в десятидневный срок уведомляет саморегулируемую организацию организаторов азартных игр в букмекерских конторах о выявленных нарушениях в установленном им порядке.</w:t>
            </w:r>
          </w:p>
          <w:p w:rsidR="00406B82" w:rsidRPr="00CD1DF2" w:rsidRDefault="00406B82" w:rsidP="00CD1DF2">
            <w:pPr>
              <w:pStyle w:val="a5"/>
              <w:ind w:firstLine="317"/>
              <w:jc w:val="both"/>
              <w:rPr>
                <w:rFonts w:ascii="Times New Roman" w:hAnsi="Times New Roman" w:cs="Times New Roman"/>
                <w:sz w:val="24"/>
                <w:szCs w:val="24"/>
              </w:rPr>
            </w:pPr>
          </w:p>
        </w:tc>
        <w:tc>
          <w:tcPr>
            <w:tcW w:w="1701"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rPr>
              <w:t>Часть 3 статьи 14.1.1. КоАП</w:t>
            </w:r>
          </w:p>
        </w:tc>
        <w:tc>
          <w:tcPr>
            <w:tcW w:w="2545" w:type="dxa"/>
            <w:tcBorders>
              <w:top w:val="single" w:sz="4" w:space="0" w:color="auto"/>
              <w:bottom w:val="single" w:sz="4" w:space="0" w:color="auto"/>
            </w:tcBorders>
          </w:tcPr>
          <w:p w:rsidR="00406B82" w:rsidRPr="0044792E" w:rsidRDefault="00406B82" w:rsidP="00914599">
            <w:pPr>
              <w:rPr>
                <w:rFonts w:ascii="Times New Roman" w:hAnsi="Times New Roman" w:cs="Times New Roman"/>
                <w:sz w:val="24"/>
                <w:szCs w:val="24"/>
              </w:rPr>
            </w:pPr>
            <w:r w:rsidRPr="0044792E">
              <w:rPr>
                <w:rFonts w:ascii="Times New Roman" w:hAnsi="Times New Roman" w:cs="Times New Roman"/>
                <w:sz w:val="24"/>
                <w:szCs w:val="24"/>
                <w:shd w:val="clear" w:color="auto" w:fill="FFFFFF"/>
              </w:rPr>
              <w:t>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tc>
        <w:tc>
          <w:tcPr>
            <w:tcW w:w="1850" w:type="dxa"/>
            <w:tcBorders>
              <w:top w:val="single" w:sz="4" w:space="0" w:color="auto"/>
              <w:bottom w:val="single" w:sz="4" w:space="0" w:color="auto"/>
            </w:tcBorders>
          </w:tcPr>
          <w:p w:rsidR="00406B82" w:rsidRPr="0044792E" w:rsidRDefault="00A85FFC" w:rsidP="00914599">
            <w:pPr>
              <w:rPr>
                <w:rFonts w:ascii="Times New Roman" w:hAnsi="Times New Roman" w:cs="Times New Roman"/>
                <w:sz w:val="24"/>
                <w:szCs w:val="24"/>
              </w:rPr>
            </w:pPr>
            <w:r>
              <w:rPr>
                <w:rFonts w:ascii="Times New Roman" w:hAnsi="Times New Roman" w:cs="Times New Roman"/>
                <w:sz w:val="24"/>
                <w:szCs w:val="24"/>
                <w:shd w:val="clear" w:color="auto" w:fill="FFFFFF"/>
              </w:rPr>
              <w:t>В</w:t>
            </w:r>
            <w:r w:rsidR="00406B82" w:rsidRPr="0044792E">
              <w:rPr>
                <w:rFonts w:ascii="Times New Roman" w:hAnsi="Times New Roman" w:cs="Times New Roman"/>
                <w:sz w:val="24"/>
                <w:szCs w:val="24"/>
                <w:shd w:val="clear" w:color="auto" w:fill="FFFFFF"/>
              </w:rPr>
              <w:t>лечет наложение административного штрафа на юридических лиц в размере от трехсот тысяч до пятисот тысяч рублей.</w:t>
            </w:r>
          </w:p>
        </w:tc>
      </w:tr>
    </w:tbl>
    <w:p w:rsidR="00403E9D" w:rsidRPr="00403E9D" w:rsidRDefault="00403E9D">
      <w:pPr>
        <w:rPr>
          <w:rFonts w:ascii="Times New Roman" w:hAnsi="Times New Roman" w:cs="Times New Roman"/>
          <w:sz w:val="24"/>
          <w:szCs w:val="24"/>
        </w:rPr>
      </w:pPr>
    </w:p>
    <w:sectPr w:rsidR="00403E9D" w:rsidRPr="00403E9D" w:rsidSect="00B6650F">
      <w:headerReference w:type="default" r:id="rId42"/>
      <w:pgSz w:w="16838" w:h="11906" w:orient="landscape"/>
      <w:pgMar w:top="709" w:right="395" w:bottom="426"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B2" w:rsidRDefault="000E31B2" w:rsidP="0044792E">
      <w:pPr>
        <w:spacing w:after="0" w:line="240" w:lineRule="auto"/>
      </w:pPr>
      <w:r>
        <w:separator/>
      </w:r>
    </w:p>
  </w:endnote>
  <w:endnote w:type="continuationSeparator" w:id="0">
    <w:p w:rsidR="000E31B2" w:rsidRDefault="000E31B2" w:rsidP="0044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B2" w:rsidRDefault="000E31B2" w:rsidP="0044792E">
      <w:pPr>
        <w:spacing w:after="0" w:line="240" w:lineRule="auto"/>
      </w:pPr>
      <w:r>
        <w:separator/>
      </w:r>
    </w:p>
  </w:footnote>
  <w:footnote w:type="continuationSeparator" w:id="0">
    <w:p w:rsidR="000E31B2" w:rsidRDefault="000E31B2" w:rsidP="0044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28673"/>
      <w:docPartObj>
        <w:docPartGallery w:val="Page Numbers (Top of Page)"/>
        <w:docPartUnique/>
      </w:docPartObj>
    </w:sdtPr>
    <w:sdtEndPr>
      <w:rPr>
        <w:rFonts w:ascii="Times New Roman" w:hAnsi="Times New Roman" w:cs="Times New Roman"/>
      </w:rPr>
    </w:sdtEndPr>
    <w:sdtContent>
      <w:p w:rsidR="0044792E" w:rsidRPr="0044792E" w:rsidRDefault="0044792E">
        <w:pPr>
          <w:pStyle w:val="a7"/>
          <w:jc w:val="center"/>
          <w:rPr>
            <w:rFonts w:ascii="Times New Roman" w:hAnsi="Times New Roman" w:cs="Times New Roman"/>
          </w:rPr>
        </w:pPr>
        <w:r w:rsidRPr="0044792E">
          <w:rPr>
            <w:rFonts w:ascii="Times New Roman" w:hAnsi="Times New Roman" w:cs="Times New Roman"/>
          </w:rPr>
          <w:fldChar w:fldCharType="begin"/>
        </w:r>
        <w:r w:rsidRPr="0044792E">
          <w:rPr>
            <w:rFonts w:ascii="Times New Roman" w:hAnsi="Times New Roman" w:cs="Times New Roman"/>
          </w:rPr>
          <w:instrText>PAGE   \* MERGEFORMAT</w:instrText>
        </w:r>
        <w:r w:rsidRPr="0044792E">
          <w:rPr>
            <w:rFonts w:ascii="Times New Roman" w:hAnsi="Times New Roman" w:cs="Times New Roman"/>
          </w:rPr>
          <w:fldChar w:fldCharType="separate"/>
        </w:r>
        <w:r w:rsidR="00C17088">
          <w:rPr>
            <w:rFonts w:ascii="Times New Roman" w:hAnsi="Times New Roman" w:cs="Times New Roman"/>
            <w:noProof/>
          </w:rPr>
          <w:t>2</w:t>
        </w:r>
        <w:r w:rsidRPr="0044792E">
          <w:rPr>
            <w:rFonts w:ascii="Times New Roman" w:hAnsi="Times New Roman" w:cs="Times New Roman"/>
          </w:rPr>
          <w:fldChar w:fldCharType="end"/>
        </w:r>
      </w:p>
    </w:sdtContent>
  </w:sdt>
  <w:p w:rsidR="0044792E" w:rsidRDefault="004479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7F4A"/>
    <w:multiLevelType w:val="hybridMultilevel"/>
    <w:tmpl w:val="2AB00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03E9D"/>
    <w:rsid w:val="000E31B2"/>
    <w:rsid w:val="00192E2B"/>
    <w:rsid w:val="001A07CB"/>
    <w:rsid w:val="002107A1"/>
    <w:rsid w:val="00276FE6"/>
    <w:rsid w:val="003D20EF"/>
    <w:rsid w:val="00403E9D"/>
    <w:rsid w:val="00406B82"/>
    <w:rsid w:val="00432C20"/>
    <w:rsid w:val="0044792E"/>
    <w:rsid w:val="004E6B75"/>
    <w:rsid w:val="00533B5C"/>
    <w:rsid w:val="0063555A"/>
    <w:rsid w:val="006C5515"/>
    <w:rsid w:val="006D7CFE"/>
    <w:rsid w:val="0080210F"/>
    <w:rsid w:val="00860679"/>
    <w:rsid w:val="00997D35"/>
    <w:rsid w:val="009F3E17"/>
    <w:rsid w:val="00A3699D"/>
    <w:rsid w:val="00A85FFC"/>
    <w:rsid w:val="00A875D8"/>
    <w:rsid w:val="00AC296A"/>
    <w:rsid w:val="00B6650F"/>
    <w:rsid w:val="00BC2FED"/>
    <w:rsid w:val="00C17088"/>
    <w:rsid w:val="00CB7BC2"/>
    <w:rsid w:val="00CD1DF2"/>
    <w:rsid w:val="00CD42DB"/>
    <w:rsid w:val="00D93F6C"/>
    <w:rsid w:val="00E472EB"/>
    <w:rsid w:val="00E8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3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E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3E9D"/>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403E9D"/>
    <w:rPr>
      <w:color w:val="0000FF"/>
      <w:u w:val="single"/>
    </w:rPr>
  </w:style>
  <w:style w:type="character" w:customStyle="1" w:styleId="blk">
    <w:name w:val="blk"/>
    <w:basedOn w:val="a0"/>
    <w:rsid w:val="00403E9D"/>
  </w:style>
  <w:style w:type="paragraph" w:styleId="a5">
    <w:name w:val="No Spacing"/>
    <w:uiPriority w:val="1"/>
    <w:qFormat/>
    <w:rsid w:val="00403E9D"/>
    <w:pPr>
      <w:spacing w:after="0" w:line="240" w:lineRule="auto"/>
    </w:pPr>
  </w:style>
  <w:style w:type="paragraph" w:styleId="a6">
    <w:name w:val="List Paragraph"/>
    <w:basedOn w:val="a"/>
    <w:uiPriority w:val="34"/>
    <w:qFormat/>
    <w:rsid w:val="006C5515"/>
    <w:pPr>
      <w:ind w:left="720"/>
      <w:contextualSpacing/>
    </w:pPr>
  </w:style>
  <w:style w:type="paragraph" w:styleId="a7">
    <w:name w:val="header"/>
    <w:basedOn w:val="a"/>
    <w:link w:val="a8"/>
    <w:uiPriority w:val="99"/>
    <w:unhideWhenUsed/>
    <w:rsid w:val="004479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792E"/>
  </w:style>
  <w:style w:type="paragraph" w:styleId="a9">
    <w:name w:val="footer"/>
    <w:basedOn w:val="a"/>
    <w:link w:val="aa"/>
    <w:uiPriority w:val="99"/>
    <w:unhideWhenUsed/>
    <w:rsid w:val="004479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792E"/>
  </w:style>
  <w:style w:type="paragraph" w:styleId="ab">
    <w:name w:val="Balloon Text"/>
    <w:basedOn w:val="a"/>
    <w:link w:val="ac"/>
    <w:uiPriority w:val="99"/>
    <w:semiHidden/>
    <w:unhideWhenUsed/>
    <w:rsid w:val="00A85F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5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1828">
      <w:bodyDiv w:val="1"/>
      <w:marLeft w:val="0"/>
      <w:marRight w:val="0"/>
      <w:marTop w:val="0"/>
      <w:marBottom w:val="0"/>
      <w:divBdr>
        <w:top w:val="none" w:sz="0" w:space="0" w:color="auto"/>
        <w:left w:val="none" w:sz="0" w:space="0" w:color="auto"/>
        <w:bottom w:val="none" w:sz="0" w:space="0" w:color="auto"/>
        <w:right w:val="none" w:sz="0" w:space="0" w:color="auto"/>
      </w:divBdr>
      <w:divsChild>
        <w:div w:id="1040473855">
          <w:marLeft w:val="0"/>
          <w:marRight w:val="0"/>
          <w:marTop w:val="120"/>
          <w:marBottom w:val="0"/>
          <w:divBdr>
            <w:top w:val="none" w:sz="0" w:space="0" w:color="auto"/>
            <w:left w:val="none" w:sz="0" w:space="0" w:color="auto"/>
            <w:bottom w:val="none" w:sz="0" w:space="0" w:color="auto"/>
            <w:right w:val="none" w:sz="0" w:space="0" w:color="auto"/>
          </w:divBdr>
        </w:div>
        <w:div w:id="256909383">
          <w:marLeft w:val="0"/>
          <w:marRight w:val="0"/>
          <w:marTop w:val="120"/>
          <w:marBottom w:val="0"/>
          <w:divBdr>
            <w:top w:val="none" w:sz="0" w:space="0" w:color="auto"/>
            <w:left w:val="none" w:sz="0" w:space="0" w:color="auto"/>
            <w:bottom w:val="none" w:sz="0" w:space="0" w:color="auto"/>
            <w:right w:val="none" w:sz="0" w:space="0" w:color="auto"/>
          </w:divBdr>
        </w:div>
        <w:div w:id="1408452009">
          <w:marLeft w:val="0"/>
          <w:marRight w:val="0"/>
          <w:marTop w:val="120"/>
          <w:marBottom w:val="0"/>
          <w:divBdr>
            <w:top w:val="none" w:sz="0" w:space="0" w:color="auto"/>
            <w:left w:val="none" w:sz="0" w:space="0" w:color="auto"/>
            <w:bottom w:val="none" w:sz="0" w:space="0" w:color="auto"/>
            <w:right w:val="none" w:sz="0" w:space="0" w:color="auto"/>
          </w:divBdr>
        </w:div>
        <w:div w:id="2073191167">
          <w:marLeft w:val="0"/>
          <w:marRight w:val="0"/>
          <w:marTop w:val="120"/>
          <w:marBottom w:val="0"/>
          <w:divBdr>
            <w:top w:val="none" w:sz="0" w:space="0" w:color="auto"/>
            <w:left w:val="none" w:sz="0" w:space="0" w:color="auto"/>
            <w:bottom w:val="none" w:sz="0" w:space="0" w:color="auto"/>
            <w:right w:val="none" w:sz="0" w:space="0" w:color="auto"/>
          </w:divBdr>
        </w:div>
        <w:div w:id="83886172">
          <w:marLeft w:val="0"/>
          <w:marRight w:val="0"/>
          <w:marTop w:val="120"/>
          <w:marBottom w:val="0"/>
          <w:divBdr>
            <w:top w:val="none" w:sz="0" w:space="0" w:color="auto"/>
            <w:left w:val="none" w:sz="0" w:space="0" w:color="auto"/>
            <w:bottom w:val="none" w:sz="0" w:space="0" w:color="auto"/>
            <w:right w:val="none" w:sz="0" w:space="0" w:color="auto"/>
          </w:divBdr>
        </w:div>
        <w:div w:id="1202669871">
          <w:marLeft w:val="0"/>
          <w:marRight w:val="0"/>
          <w:marTop w:val="120"/>
          <w:marBottom w:val="0"/>
          <w:divBdr>
            <w:top w:val="none" w:sz="0" w:space="0" w:color="auto"/>
            <w:left w:val="none" w:sz="0" w:space="0" w:color="auto"/>
            <w:bottom w:val="none" w:sz="0" w:space="0" w:color="auto"/>
            <w:right w:val="none" w:sz="0" w:space="0" w:color="auto"/>
          </w:divBdr>
        </w:div>
        <w:div w:id="774059988">
          <w:marLeft w:val="0"/>
          <w:marRight w:val="0"/>
          <w:marTop w:val="120"/>
          <w:marBottom w:val="0"/>
          <w:divBdr>
            <w:top w:val="none" w:sz="0" w:space="0" w:color="auto"/>
            <w:left w:val="none" w:sz="0" w:space="0" w:color="auto"/>
            <w:bottom w:val="none" w:sz="0" w:space="0" w:color="auto"/>
            <w:right w:val="none" w:sz="0" w:space="0" w:color="auto"/>
          </w:divBdr>
        </w:div>
        <w:div w:id="1249845017">
          <w:marLeft w:val="0"/>
          <w:marRight w:val="0"/>
          <w:marTop w:val="120"/>
          <w:marBottom w:val="0"/>
          <w:divBdr>
            <w:top w:val="none" w:sz="0" w:space="0" w:color="auto"/>
            <w:left w:val="none" w:sz="0" w:space="0" w:color="auto"/>
            <w:bottom w:val="none" w:sz="0" w:space="0" w:color="auto"/>
            <w:right w:val="none" w:sz="0" w:space="0" w:color="auto"/>
          </w:divBdr>
        </w:div>
        <w:div w:id="82914943">
          <w:marLeft w:val="0"/>
          <w:marRight w:val="0"/>
          <w:marTop w:val="120"/>
          <w:marBottom w:val="0"/>
          <w:divBdr>
            <w:top w:val="none" w:sz="0" w:space="0" w:color="auto"/>
            <w:left w:val="none" w:sz="0" w:space="0" w:color="auto"/>
            <w:bottom w:val="none" w:sz="0" w:space="0" w:color="auto"/>
            <w:right w:val="none" w:sz="0" w:space="0" w:color="auto"/>
          </w:divBdr>
        </w:div>
        <w:div w:id="1249577500">
          <w:marLeft w:val="0"/>
          <w:marRight w:val="0"/>
          <w:marTop w:val="120"/>
          <w:marBottom w:val="0"/>
          <w:divBdr>
            <w:top w:val="none" w:sz="0" w:space="0" w:color="auto"/>
            <w:left w:val="none" w:sz="0" w:space="0" w:color="auto"/>
            <w:bottom w:val="none" w:sz="0" w:space="0" w:color="auto"/>
            <w:right w:val="none" w:sz="0" w:space="0" w:color="auto"/>
          </w:divBdr>
        </w:div>
        <w:div w:id="1459714232">
          <w:marLeft w:val="0"/>
          <w:marRight w:val="0"/>
          <w:marTop w:val="120"/>
          <w:marBottom w:val="0"/>
          <w:divBdr>
            <w:top w:val="none" w:sz="0" w:space="0" w:color="auto"/>
            <w:left w:val="none" w:sz="0" w:space="0" w:color="auto"/>
            <w:bottom w:val="none" w:sz="0" w:space="0" w:color="auto"/>
            <w:right w:val="none" w:sz="0" w:space="0" w:color="auto"/>
          </w:divBdr>
        </w:div>
        <w:div w:id="1179274330">
          <w:marLeft w:val="0"/>
          <w:marRight w:val="0"/>
          <w:marTop w:val="120"/>
          <w:marBottom w:val="0"/>
          <w:divBdr>
            <w:top w:val="none" w:sz="0" w:space="0" w:color="auto"/>
            <w:left w:val="none" w:sz="0" w:space="0" w:color="auto"/>
            <w:bottom w:val="none" w:sz="0" w:space="0" w:color="auto"/>
            <w:right w:val="none" w:sz="0" w:space="0" w:color="auto"/>
          </w:divBdr>
        </w:div>
        <w:div w:id="1215120478">
          <w:marLeft w:val="0"/>
          <w:marRight w:val="0"/>
          <w:marTop w:val="120"/>
          <w:marBottom w:val="0"/>
          <w:divBdr>
            <w:top w:val="none" w:sz="0" w:space="0" w:color="auto"/>
            <w:left w:val="none" w:sz="0" w:space="0" w:color="auto"/>
            <w:bottom w:val="none" w:sz="0" w:space="0" w:color="auto"/>
            <w:right w:val="none" w:sz="0" w:space="0" w:color="auto"/>
          </w:divBdr>
        </w:div>
      </w:divsChild>
    </w:div>
    <w:div w:id="1594626386">
      <w:bodyDiv w:val="1"/>
      <w:marLeft w:val="0"/>
      <w:marRight w:val="0"/>
      <w:marTop w:val="0"/>
      <w:marBottom w:val="0"/>
      <w:divBdr>
        <w:top w:val="none" w:sz="0" w:space="0" w:color="auto"/>
        <w:left w:val="none" w:sz="0" w:space="0" w:color="auto"/>
        <w:bottom w:val="none" w:sz="0" w:space="0" w:color="auto"/>
        <w:right w:val="none" w:sz="0" w:space="0" w:color="auto"/>
      </w:divBdr>
      <w:divsChild>
        <w:div w:id="1004166019">
          <w:marLeft w:val="0"/>
          <w:marRight w:val="0"/>
          <w:marTop w:val="120"/>
          <w:marBottom w:val="0"/>
          <w:divBdr>
            <w:top w:val="none" w:sz="0" w:space="0" w:color="auto"/>
            <w:left w:val="none" w:sz="0" w:space="0" w:color="auto"/>
            <w:bottom w:val="none" w:sz="0" w:space="0" w:color="auto"/>
            <w:right w:val="none" w:sz="0" w:space="0" w:color="auto"/>
          </w:divBdr>
        </w:div>
        <w:div w:id="1418673262">
          <w:marLeft w:val="0"/>
          <w:marRight w:val="0"/>
          <w:marTop w:val="120"/>
          <w:marBottom w:val="0"/>
          <w:divBdr>
            <w:top w:val="none" w:sz="0" w:space="0" w:color="auto"/>
            <w:left w:val="none" w:sz="0" w:space="0" w:color="auto"/>
            <w:bottom w:val="none" w:sz="0" w:space="0" w:color="auto"/>
            <w:right w:val="none" w:sz="0" w:space="0" w:color="auto"/>
          </w:divBdr>
        </w:div>
        <w:div w:id="1681466830">
          <w:marLeft w:val="0"/>
          <w:marRight w:val="0"/>
          <w:marTop w:val="120"/>
          <w:marBottom w:val="0"/>
          <w:divBdr>
            <w:top w:val="none" w:sz="0" w:space="0" w:color="auto"/>
            <w:left w:val="none" w:sz="0" w:space="0" w:color="auto"/>
            <w:bottom w:val="none" w:sz="0" w:space="0" w:color="auto"/>
            <w:right w:val="none" w:sz="0" w:space="0" w:color="auto"/>
          </w:divBdr>
        </w:div>
        <w:div w:id="1357342963">
          <w:marLeft w:val="0"/>
          <w:marRight w:val="0"/>
          <w:marTop w:val="120"/>
          <w:marBottom w:val="0"/>
          <w:divBdr>
            <w:top w:val="none" w:sz="0" w:space="0" w:color="auto"/>
            <w:left w:val="none" w:sz="0" w:space="0" w:color="auto"/>
            <w:bottom w:val="none" w:sz="0" w:space="0" w:color="auto"/>
            <w:right w:val="none" w:sz="0" w:space="0" w:color="auto"/>
          </w:divBdr>
        </w:div>
        <w:div w:id="1294019913">
          <w:marLeft w:val="0"/>
          <w:marRight w:val="0"/>
          <w:marTop w:val="120"/>
          <w:marBottom w:val="0"/>
          <w:divBdr>
            <w:top w:val="none" w:sz="0" w:space="0" w:color="auto"/>
            <w:left w:val="none" w:sz="0" w:space="0" w:color="auto"/>
            <w:bottom w:val="none" w:sz="0" w:space="0" w:color="auto"/>
            <w:right w:val="none" w:sz="0" w:space="0" w:color="auto"/>
          </w:divBdr>
        </w:div>
        <w:div w:id="1766340678">
          <w:marLeft w:val="0"/>
          <w:marRight w:val="0"/>
          <w:marTop w:val="120"/>
          <w:marBottom w:val="0"/>
          <w:divBdr>
            <w:top w:val="none" w:sz="0" w:space="0" w:color="auto"/>
            <w:left w:val="none" w:sz="0" w:space="0" w:color="auto"/>
            <w:bottom w:val="none" w:sz="0" w:space="0" w:color="auto"/>
            <w:right w:val="none" w:sz="0" w:space="0" w:color="auto"/>
          </w:divBdr>
        </w:div>
        <w:div w:id="1880586879">
          <w:marLeft w:val="0"/>
          <w:marRight w:val="0"/>
          <w:marTop w:val="120"/>
          <w:marBottom w:val="0"/>
          <w:divBdr>
            <w:top w:val="none" w:sz="0" w:space="0" w:color="auto"/>
            <w:left w:val="none" w:sz="0" w:space="0" w:color="auto"/>
            <w:bottom w:val="none" w:sz="0" w:space="0" w:color="auto"/>
            <w:right w:val="none" w:sz="0" w:space="0" w:color="auto"/>
          </w:divBdr>
        </w:div>
        <w:div w:id="2103647801">
          <w:marLeft w:val="0"/>
          <w:marRight w:val="0"/>
          <w:marTop w:val="120"/>
          <w:marBottom w:val="0"/>
          <w:divBdr>
            <w:top w:val="none" w:sz="0" w:space="0" w:color="auto"/>
            <w:left w:val="none" w:sz="0" w:space="0" w:color="auto"/>
            <w:bottom w:val="none" w:sz="0" w:space="0" w:color="auto"/>
            <w:right w:val="none" w:sz="0" w:space="0" w:color="auto"/>
          </w:divBdr>
        </w:div>
        <w:div w:id="313263694">
          <w:marLeft w:val="0"/>
          <w:marRight w:val="0"/>
          <w:marTop w:val="120"/>
          <w:marBottom w:val="0"/>
          <w:divBdr>
            <w:top w:val="none" w:sz="0" w:space="0" w:color="auto"/>
            <w:left w:val="none" w:sz="0" w:space="0" w:color="auto"/>
            <w:bottom w:val="none" w:sz="0" w:space="0" w:color="auto"/>
            <w:right w:val="none" w:sz="0" w:space="0" w:color="auto"/>
          </w:divBdr>
        </w:div>
        <w:div w:id="1970015067">
          <w:marLeft w:val="0"/>
          <w:marRight w:val="0"/>
          <w:marTop w:val="120"/>
          <w:marBottom w:val="0"/>
          <w:divBdr>
            <w:top w:val="none" w:sz="0" w:space="0" w:color="auto"/>
            <w:left w:val="none" w:sz="0" w:space="0" w:color="auto"/>
            <w:bottom w:val="none" w:sz="0" w:space="0" w:color="auto"/>
            <w:right w:val="none" w:sz="0" w:space="0" w:color="auto"/>
          </w:divBdr>
        </w:div>
        <w:div w:id="938681490">
          <w:marLeft w:val="0"/>
          <w:marRight w:val="0"/>
          <w:marTop w:val="120"/>
          <w:marBottom w:val="0"/>
          <w:divBdr>
            <w:top w:val="none" w:sz="0" w:space="0" w:color="auto"/>
            <w:left w:val="none" w:sz="0" w:space="0" w:color="auto"/>
            <w:bottom w:val="none" w:sz="0" w:space="0" w:color="auto"/>
            <w:right w:val="none" w:sz="0" w:space="0" w:color="auto"/>
          </w:divBdr>
        </w:div>
        <w:div w:id="284193322">
          <w:marLeft w:val="0"/>
          <w:marRight w:val="0"/>
          <w:marTop w:val="120"/>
          <w:marBottom w:val="0"/>
          <w:divBdr>
            <w:top w:val="none" w:sz="0" w:space="0" w:color="auto"/>
            <w:left w:val="none" w:sz="0" w:space="0" w:color="auto"/>
            <w:bottom w:val="none" w:sz="0" w:space="0" w:color="auto"/>
            <w:right w:val="none" w:sz="0" w:space="0" w:color="auto"/>
          </w:divBdr>
        </w:div>
        <w:div w:id="1415125196">
          <w:marLeft w:val="0"/>
          <w:marRight w:val="0"/>
          <w:marTop w:val="120"/>
          <w:marBottom w:val="0"/>
          <w:divBdr>
            <w:top w:val="none" w:sz="0" w:space="0" w:color="auto"/>
            <w:left w:val="none" w:sz="0" w:space="0" w:color="auto"/>
            <w:bottom w:val="none" w:sz="0" w:space="0" w:color="auto"/>
            <w:right w:val="none" w:sz="0" w:space="0" w:color="auto"/>
          </w:divBdr>
        </w:div>
      </w:divsChild>
    </w:div>
    <w:div w:id="18872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64924/8875589081ccb5f489465981b98256953c612f29/" TargetMode="External"/><Relationship Id="rId18" Type="http://schemas.openxmlformats.org/officeDocument/2006/relationships/hyperlink" Target="http://www.consultant.ru/document/cons_doc_LAW_64924/8875589081ccb5f489465981b98256953c612f29/" TargetMode="External"/><Relationship Id="rId26" Type="http://schemas.openxmlformats.org/officeDocument/2006/relationships/hyperlink" Target="http://www.consultant.ru/document/cons_doc_LAW_64924/cdf7964b8babcc79e2a7fe077e7cbc9a4074ef00/" TargetMode="External"/><Relationship Id="rId39" Type="http://schemas.openxmlformats.org/officeDocument/2006/relationships/hyperlink" Target="consultantplus://offline/ref=79791ABB1050C74449389FBCBB644EA5D4F72F393112063C2CFD5B65E14949F4173103B6B72F9AABj3pAF" TargetMode="External"/><Relationship Id="rId3" Type="http://schemas.openxmlformats.org/officeDocument/2006/relationships/styles" Target="styles.xml"/><Relationship Id="rId21" Type="http://schemas.openxmlformats.org/officeDocument/2006/relationships/hyperlink" Target="http://www.consultant.ru/document/cons_doc_LAW_64924/8875589081ccb5f489465981b98256953c612f29/" TargetMode="External"/><Relationship Id="rId34" Type="http://schemas.openxmlformats.org/officeDocument/2006/relationships/hyperlink" Target="consultantplus://offline/ref=8317CC29D3B0F6A62862F2D074392E6DFEDFD4BA79B14EDDB21A11D4313E813A3380ECDDAFU7eA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64924/cdf7964b8babcc79e2a7fe077e7cbc9a4074ef00/" TargetMode="External"/><Relationship Id="rId17" Type="http://schemas.openxmlformats.org/officeDocument/2006/relationships/hyperlink" Target="consultantplus://offline/ref=99759E5F300BF6E14253E6F702EF1E312311D71A6007F455DF2C25547EFD5FEA091B8AB12EABFE2EYAF" TargetMode="External"/><Relationship Id="rId25" Type="http://schemas.openxmlformats.org/officeDocument/2006/relationships/hyperlink" Target="http://www.consultant.ru/document/cons_doc_LAW_64924/cdf7964b8babcc79e2a7fe077e7cbc9a4074ef00/" TargetMode="External"/><Relationship Id="rId33" Type="http://schemas.openxmlformats.org/officeDocument/2006/relationships/hyperlink" Target="consultantplus://offline/ref=C16F70715758CCBE1714BD78BC03D3D16942DCEB667CBBC6184D8800C5C3043A71E13BAD2264FB3901dBF" TargetMode="External"/><Relationship Id="rId38" Type="http://schemas.openxmlformats.org/officeDocument/2006/relationships/hyperlink" Target="consultantplus://offline/ref=79791ABB1050C74449389FBCBB644EA5D4F72F393112063C2CFD5B65E14949F4173103B6B72F9AA8j3pEF" TargetMode="External"/><Relationship Id="rId2" Type="http://schemas.openxmlformats.org/officeDocument/2006/relationships/numbering" Target="numbering.xml"/><Relationship Id="rId16" Type="http://schemas.openxmlformats.org/officeDocument/2006/relationships/hyperlink" Target="http://www.consultant.ru/document/cons_doc_LAW_64924/cc12dd0cce9d2c8cd598a857b61f1a4f2e20bdc8/" TargetMode="External"/><Relationship Id="rId20" Type="http://schemas.openxmlformats.org/officeDocument/2006/relationships/hyperlink" Target="http://www.consultant.ru/document/cons_doc_LAW_64924/8875589081ccb5f489465981b98256953c612f29/" TargetMode="External"/><Relationship Id="rId29" Type="http://schemas.openxmlformats.org/officeDocument/2006/relationships/hyperlink" Target="http://www.consultant.ru/document/cons_doc_LAW_64924/8875589081ccb5f489465981b98256953c612f29/" TargetMode="External"/><Relationship Id="rId41" Type="http://schemas.openxmlformats.org/officeDocument/2006/relationships/hyperlink" Target="consultantplus://offline/ref=79791ABB1050C74449389FBCBB644EA5D4F72F363211063C2CFD5B65E14949F4173103B6B72F9AA9j3p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4924/cc12dd0cce9d2c8cd598a857b61f1a4f2e20bdc8/" TargetMode="External"/><Relationship Id="rId24" Type="http://schemas.openxmlformats.org/officeDocument/2006/relationships/hyperlink" Target="http://www.consultant.ru/document/cons_doc_LAW_64924/8875589081ccb5f489465981b98256953c612f29/" TargetMode="External"/><Relationship Id="rId32" Type="http://schemas.openxmlformats.org/officeDocument/2006/relationships/hyperlink" Target="consultantplus://offline/ref=C16F70715758CCBE1714BD78BC03D3D16948DCEF6B7ABBC6184D8800C5C3043A71E13BAD2265FA3301d3F" TargetMode="External"/><Relationship Id="rId37" Type="http://schemas.openxmlformats.org/officeDocument/2006/relationships/hyperlink" Target="http://www.consultant.ru/document/cons_doc_LAW_64924/b88f09630b6a7135acfd3968937c47b5fd9e7d39/" TargetMode="External"/><Relationship Id="rId40" Type="http://schemas.openxmlformats.org/officeDocument/2006/relationships/hyperlink" Target="consultantplus://offline/ref=79791ABB1050C74449389FBCBB644EA5D4F72F363515063C2CFD5B65E14949F4173103B6B72F9AA9j3p6F" TargetMode="External"/><Relationship Id="rId5" Type="http://schemas.openxmlformats.org/officeDocument/2006/relationships/settings" Target="settings.xml"/><Relationship Id="rId15" Type="http://schemas.openxmlformats.org/officeDocument/2006/relationships/hyperlink" Target="http://www.consultant.ru/document/cons_doc_LAW_64924/8875589081ccb5f489465981b98256953c612f29/" TargetMode="External"/><Relationship Id="rId23" Type="http://schemas.openxmlformats.org/officeDocument/2006/relationships/hyperlink" Target="consultantplus://offline/ref=D1531E65FB594A9AB37E68A440D179E375034D9D6E254B144BC76BF474A68A6753FDE94ED2FACCA545a2F" TargetMode="External"/><Relationship Id="rId28" Type="http://schemas.openxmlformats.org/officeDocument/2006/relationships/hyperlink" Target="http://www.consultant.ru/document/cons_doc_LAW_64924/8875589081ccb5f489465981b98256953c612f29/" TargetMode="External"/><Relationship Id="rId36" Type="http://schemas.openxmlformats.org/officeDocument/2006/relationships/hyperlink" Target="http://www.consultant.ru/document/cons_doc_LAW_64924/8875589081ccb5f489465981b98256953c612f29/" TargetMode="External"/><Relationship Id="rId10" Type="http://schemas.openxmlformats.org/officeDocument/2006/relationships/hyperlink" Target="http://www.consultant.ru/document/cons_doc_LAW_64924/cc12dd0cce9d2c8cd598a857b61f1a4f2e20bdc8/" TargetMode="External"/><Relationship Id="rId19" Type="http://schemas.openxmlformats.org/officeDocument/2006/relationships/hyperlink" Target="http://www.consultant.ru/document/cons_doc_LAW_64924/8875589081ccb5f489465981b98256953c612f29/" TargetMode="External"/><Relationship Id="rId31" Type="http://schemas.openxmlformats.org/officeDocument/2006/relationships/hyperlink" Target="http://www.consultant.ru/document/cons_doc_LAW_64924/deabdc3ffb9f8457809718feaf3b556a66360fc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64924/cc12dd0cce9d2c8cd598a857b61f1a4f2e20bdc8/" TargetMode="External"/><Relationship Id="rId14" Type="http://schemas.openxmlformats.org/officeDocument/2006/relationships/hyperlink" Target="http://www.consultant.ru/document/cons_doc_LAW_64924/a57f1222158e68158ece666271e23a895ee61ebf/" TargetMode="External"/><Relationship Id="rId22" Type="http://schemas.openxmlformats.org/officeDocument/2006/relationships/hyperlink" Target="consultantplus://offline/ref=2B2A92CDB5752FB8FF577857221EA16D20993376F42EA8C23439205F3CJ7a1F" TargetMode="External"/><Relationship Id="rId27" Type="http://schemas.openxmlformats.org/officeDocument/2006/relationships/hyperlink" Target="consultantplus://offline/ref=4B9EE0EA17544FCB83461C93848E66E16C13686F5A86C6F62E44446B64z3bEF" TargetMode="External"/><Relationship Id="rId30" Type="http://schemas.openxmlformats.org/officeDocument/2006/relationships/hyperlink" Target="http://www.consultant.ru/document/cons_doc_LAW_64924/deabdc3ffb9f8457809718feaf3b556a66360fc0/" TargetMode="External"/><Relationship Id="rId35" Type="http://schemas.openxmlformats.org/officeDocument/2006/relationships/hyperlink" Target="consultantplus://offline/ref=8317CC29D3B0F6A62862F2D074392E6DFEDCD1BF79B34EDDB21A11D4313E813A3380ECDDAE7C5D37U9eA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2A5A-60D9-485B-ABDB-4B6F1553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Валентинович Алексеев</cp:lastModifiedBy>
  <cp:revision>25</cp:revision>
  <cp:lastPrinted>2017-11-30T11:35:00Z</cp:lastPrinted>
  <dcterms:created xsi:type="dcterms:W3CDTF">2017-11-29T17:30:00Z</dcterms:created>
  <dcterms:modified xsi:type="dcterms:W3CDTF">2017-11-30T11:36:00Z</dcterms:modified>
</cp:coreProperties>
</file>