
<file path=[Content_Types].xml><?xml version="1.0" encoding="utf-8"?>
<Types xmlns="http://schemas.openxmlformats.org/package/2006/content-types">
  <Default Extension="xlsx" ContentType="application/vnd.openxmlformats-officedocument.spreadsheetml.sheet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olors1.xml" ContentType="application/vnd.ms-office.chartcolorstyle+xml"/>
  <Override PartName="/word/charts/colors2.xml" ContentType="application/vnd.ms-office.chartcolorstyle+xml"/>
  <Override PartName="/word/charts/colors3.xml" ContentType="application/vnd.ms-office.chartcolorstyle+xml"/>
  <Override PartName="/word/charts/colors4.xml" ContentType="application/vnd.ms-office.chartcolorstyle+xml"/>
  <Override PartName="/word/charts/colors5.xml" ContentType="application/vnd.ms-office.chartcolorstyle+xml"/>
  <Override PartName="/word/charts/colors6.xml" ContentType="application/vnd.ms-office.chartcolorstyle+xml"/>
  <Override PartName="/word/charts/colors7.xml" ContentType="application/vnd.ms-office.chartcolorstyle+xml"/>
  <Override PartName="/word/charts/style1.xml" ContentType="application/vnd.ms-office.chartstyle+xml"/>
  <Override PartName="/word/charts/style2.xml" ContentType="application/vnd.ms-office.chartstyle+xml"/>
  <Override PartName="/word/charts/style3.xml" ContentType="application/vnd.ms-office.chartstyle+xml"/>
  <Override PartName="/word/charts/style4.xml" ContentType="application/vnd.ms-office.chartstyle+xml"/>
  <Override PartName="/word/charts/style5.xml" ContentType="application/vnd.ms-office.chartstyle+xml"/>
  <Override PartName="/word/charts/style6.xml" ContentType="application/vnd.ms-office.chartstyle+xml"/>
  <Override PartName="/word/charts/style7.xml" ContentType="application/vnd.ms-office.chart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theme/themeOverride1.xml" ContentType="application/vnd.openxmlformats-officedocument.themeOverride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4.xml" ContentType="application/vnd.openxmlformats-officedocument.themeOverride+xml"/>
  <Override PartName="/word/theme/themeOverride5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Об исполнении государственных полномочий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 xml:space="preserve"> по регистрации актов гражданского состояния на территории города Лянтор в 202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>2</w:t>
      </w:r>
      <w:r>
        <w:rPr>
          <w:rFonts w:hint="default" w:ascii="Times New Roman" w:hAnsi="Times New Roman" w:cs="Times New Roman"/>
          <w:b/>
          <w:sz w:val="28"/>
          <w:szCs w:val="28"/>
        </w:rPr>
        <w:t xml:space="preserve"> году</w:t>
      </w:r>
    </w:p>
    <w:p>
      <w:pPr>
        <w:shd w:val="clear" w:color="auto" w:fill="FFFFFF"/>
        <w:spacing w:before="100" w:beforeAutospacing="1" w:after="0" w:line="240" w:lineRule="auto"/>
        <w:ind w:firstLine="709"/>
        <w:jc w:val="both"/>
        <w:rPr>
          <w:rFonts w:ascii="Verdana" w:hAnsi="Verdana" w:eastAsia="Times New Roman" w:cs="Times New Roman"/>
          <w:color w:val="000000"/>
          <w:sz w:val="17"/>
          <w:szCs w:val="17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Служба ЗАГС Администрации городского поселения Лянтор Сургутского района реализуя федеральные полномочия на государственную регистрацию актов гражданского состояния в соответствии с законом Ханты-Мансийского автономного округа-Югры от 30 сентября 2008 г. № 91-оз «О наделении органов местного самоуправления муниципальных образований Ханты-Мансийского автономного округа-Югры отдельными полномочиями в сфере государственной регистрации актов гражданского состояния» регистрирует пять видов актов гражданского состояния: рождение, смерть, заключение и расторжение брака, установление отцовства, которые непосредственно являются источником сведений для анализа демографической ситуации города.</w:t>
      </w:r>
    </w:p>
    <w:p>
      <w:pPr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 202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2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году службой зарегистрировано 1 03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1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акт гражданского состояния, что на 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2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2 акта меньше по сравнению с аналогичным периодом прошлого года.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Тенденция уменьшения общего числа зарегистрированных актов гражданского состояния наблюдается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за последние пять лет. </w:t>
      </w:r>
    </w:p>
    <w:tbl>
      <w:tblPr>
        <w:tblStyle w:val="3"/>
        <w:tblW w:w="9477" w:type="dxa"/>
        <w:tblInd w:w="13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27"/>
        <w:gridCol w:w="1036"/>
        <w:gridCol w:w="971"/>
        <w:gridCol w:w="1004"/>
        <w:gridCol w:w="1057"/>
        <w:gridCol w:w="1004"/>
        <w:gridCol w:w="187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81" w:hRule="atLeast"/>
        </w:trPr>
        <w:tc>
          <w:tcPr>
            <w:tcW w:w="2527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after="0" w:line="240" w:lineRule="auto"/>
              <w:ind w:hanging="6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072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Количество</w:t>
            </w:r>
          </w:p>
        </w:tc>
        <w:tc>
          <w:tcPr>
            <w:tcW w:w="1878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Отклонение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3" w:hRule="atLeast"/>
        </w:trPr>
        <w:tc>
          <w:tcPr>
            <w:tcW w:w="2527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ind w:hanging="6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pacing w:after="0" w:line="240" w:lineRule="auto"/>
              <w:ind w:hanging="2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201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9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after="0" w:line="240" w:lineRule="auto"/>
              <w:ind w:hanging="2" w:firstLineChars="0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100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after="0" w:line="240" w:lineRule="auto"/>
              <w:ind w:hanging="2" w:firstLineChars="0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1057" w:type="dxa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after="0" w:line="240" w:lineRule="auto"/>
              <w:ind w:hanging="2" w:firstLineChars="0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004" w:type="dxa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after="0" w:line="240" w:lineRule="auto"/>
              <w:ind w:hanging="2" w:firstLineChars="0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202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878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ind w:firstLine="709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1" w:hRule="atLeast"/>
        </w:trPr>
        <w:tc>
          <w:tcPr>
            <w:tcW w:w="252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after="0" w:line="240" w:lineRule="auto"/>
              <w:ind w:hanging="6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0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pacing w:after="0" w:line="240" w:lineRule="auto"/>
              <w:ind w:hanging="2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  <w:t>1174</w:t>
            </w:r>
          </w:p>
        </w:tc>
        <w:tc>
          <w:tcPr>
            <w:tcW w:w="9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after="0" w:line="240" w:lineRule="auto"/>
              <w:ind w:hanging="2" w:firstLineChars="0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1081</w:t>
            </w:r>
          </w:p>
        </w:tc>
        <w:tc>
          <w:tcPr>
            <w:tcW w:w="100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after="0" w:line="240" w:lineRule="auto"/>
              <w:ind w:hanging="2" w:firstLineChars="0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991</w:t>
            </w:r>
          </w:p>
        </w:tc>
        <w:tc>
          <w:tcPr>
            <w:tcW w:w="1057" w:type="dxa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after="0" w:line="240" w:lineRule="auto"/>
              <w:ind w:hanging="2" w:firstLineChars="0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1053</w:t>
            </w:r>
          </w:p>
        </w:tc>
        <w:tc>
          <w:tcPr>
            <w:tcW w:w="1004" w:type="dxa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after="0" w:line="240" w:lineRule="auto"/>
              <w:ind w:hanging="2" w:firstLineChars="0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  <w:t>1031</w:t>
            </w:r>
          </w:p>
        </w:tc>
        <w:tc>
          <w:tcPr>
            <w:tcW w:w="18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  <w:t>-2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63" w:hRule="atLeast"/>
        </w:trPr>
        <w:tc>
          <w:tcPr>
            <w:tcW w:w="252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after="0" w:line="240" w:lineRule="auto"/>
              <w:ind w:hanging="6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Рождение</w:t>
            </w:r>
          </w:p>
        </w:tc>
        <w:tc>
          <w:tcPr>
            <w:tcW w:w="10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pacing w:after="0" w:line="240" w:lineRule="auto"/>
              <w:ind w:hanging="2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  <w:t>551</w:t>
            </w:r>
          </w:p>
        </w:tc>
        <w:tc>
          <w:tcPr>
            <w:tcW w:w="9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after="0" w:line="240" w:lineRule="auto"/>
              <w:ind w:hanging="2" w:firstLineChars="0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512</w:t>
            </w:r>
          </w:p>
        </w:tc>
        <w:tc>
          <w:tcPr>
            <w:tcW w:w="100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after="0" w:line="240" w:lineRule="auto"/>
              <w:ind w:hanging="2" w:firstLineChars="0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493</w:t>
            </w:r>
          </w:p>
        </w:tc>
        <w:tc>
          <w:tcPr>
            <w:tcW w:w="1057" w:type="dxa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after="0" w:line="240" w:lineRule="auto"/>
              <w:ind w:hanging="2" w:firstLineChars="0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474</w:t>
            </w:r>
          </w:p>
        </w:tc>
        <w:tc>
          <w:tcPr>
            <w:tcW w:w="1004" w:type="dxa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after="0" w:line="240" w:lineRule="auto"/>
              <w:ind w:hanging="2" w:firstLineChars="0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474</w:t>
            </w:r>
          </w:p>
        </w:tc>
        <w:tc>
          <w:tcPr>
            <w:tcW w:w="18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90" w:hRule="atLeast"/>
        </w:trPr>
        <w:tc>
          <w:tcPr>
            <w:tcW w:w="252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after="0" w:line="240" w:lineRule="auto"/>
              <w:ind w:hanging="6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Смерть</w:t>
            </w:r>
          </w:p>
        </w:tc>
        <w:tc>
          <w:tcPr>
            <w:tcW w:w="10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pacing w:after="0" w:line="240" w:lineRule="auto"/>
              <w:ind w:hanging="2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  <w:t>93</w:t>
            </w:r>
          </w:p>
        </w:tc>
        <w:tc>
          <w:tcPr>
            <w:tcW w:w="9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after="0" w:line="240" w:lineRule="auto"/>
              <w:ind w:hanging="2" w:firstLineChars="0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00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after="0" w:line="240" w:lineRule="auto"/>
              <w:ind w:hanging="2" w:firstLineChars="0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113</w:t>
            </w:r>
          </w:p>
        </w:tc>
        <w:tc>
          <w:tcPr>
            <w:tcW w:w="1057" w:type="dxa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after="0" w:line="240" w:lineRule="auto"/>
              <w:ind w:hanging="2" w:firstLineChars="0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116</w:t>
            </w:r>
          </w:p>
        </w:tc>
        <w:tc>
          <w:tcPr>
            <w:tcW w:w="1004" w:type="dxa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after="0" w:line="240" w:lineRule="auto"/>
              <w:ind w:hanging="2" w:firstLineChars="0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8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  <w:t>-4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20" w:hRule="atLeast"/>
        </w:trPr>
        <w:tc>
          <w:tcPr>
            <w:tcW w:w="252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after="0" w:line="240" w:lineRule="auto"/>
              <w:ind w:hanging="6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Заключение брака</w:t>
            </w:r>
          </w:p>
        </w:tc>
        <w:tc>
          <w:tcPr>
            <w:tcW w:w="10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pacing w:after="0" w:line="240" w:lineRule="auto"/>
              <w:ind w:hanging="2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  <w:t>290</w:t>
            </w:r>
          </w:p>
        </w:tc>
        <w:tc>
          <w:tcPr>
            <w:tcW w:w="9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after="0" w:line="240" w:lineRule="auto"/>
              <w:ind w:hanging="2" w:firstLineChars="0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255</w:t>
            </w:r>
          </w:p>
        </w:tc>
        <w:tc>
          <w:tcPr>
            <w:tcW w:w="100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after="0" w:line="240" w:lineRule="auto"/>
              <w:ind w:hanging="2" w:firstLineChars="0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164</w:t>
            </w:r>
          </w:p>
        </w:tc>
        <w:tc>
          <w:tcPr>
            <w:tcW w:w="1057" w:type="dxa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after="0" w:line="240" w:lineRule="auto"/>
              <w:ind w:hanging="2" w:firstLineChars="0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222</w:t>
            </w:r>
          </w:p>
        </w:tc>
        <w:tc>
          <w:tcPr>
            <w:tcW w:w="1004" w:type="dxa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after="0" w:line="240" w:lineRule="auto"/>
              <w:ind w:hanging="2" w:firstLineChars="0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  <w:t>-10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67" w:hRule="atLeast"/>
        </w:trPr>
        <w:tc>
          <w:tcPr>
            <w:tcW w:w="252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after="0" w:line="240" w:lineRule="auto"/>
              <w:ind w:hanging="6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Расторжение брака</w:t>
            </w:r>
          </w:p>
        </w:tc>
        <w:tc>
          <w:tcPr>
            <w:tcW w:w="10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pacing w:after="0" w:line="240" w:lineRule="auto"/>
              <w:ind w:hanging="2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  <w:t>180</w:t>
            </w:r>
          </w:p>
        </w:tc>
        <w:tc>
          <w:tcPr>
            <w:tcW w:w="9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after="0" w:line="240" w:lineRule="auto"/>
              <w:ind w:hanging="2" w:firstLineChars="0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166</w:t>
            </w:r>
          </w:p>
        </w:tc>
        <w:tc>
          <w:tcPr>
            <w:tcW w:w="100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after="0" w:line="240" w:lineRule="auto"/>
              <w:ind w:hanging="2" w:firstLineChars="0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179</w:t>
            </w:r>
          </w:p>
        </w:tc>
        <w:tc>
          <w:tcPr>
            <w:tcW w:w="1057" w:type="dxa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after="0" w:line="240" w:lineRule="auto"/>
              <w:ind w:hanging="2" w:firstLineChars="0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198</w:t>
            </w:r>
          </w:p>
        </w:tc>
        <w:tc>
          <w:tcPr>
            <w:tcW w:w="1004" w:type="dxa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after="0" w:line="240" w:lineRule="auto"/>
              <w:ind w:hanging="2" w:firstLineChars="0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8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  <w:t>-12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45" w:hRule="atLeast"/>
        </w:trPr>
        <w:tc>
          <w:tcPr>
            <w:tcW w:w="252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after="0" w:line="240" w:lineRule="auto"/>
              <w:ind w:hanging="6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Установление отцовства</w:t>
            </w:r>
          </w:p>
        </w:tc>
        <w:tc>
          <w:tcPr>
            <w:tcW w:w="10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pacing w:after="0" w:line="240" w:lineRule="auto"/>
              <w:ind w:hanging="2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  <w:t>60</w:t>
            </w:r>
          </w:p>
        </w:tc>
        <w:tc>
          <w:tcPr>
            <w:tcW w:w="9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after="0" w:line="240" w:lineRule="auto"/>
              <w:ind w:hanging="2" w:firstLineChars="0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00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after="0" w:line="240" w:lineRule="auto"/>
              <w:ind w:hanging="2" w:firstLineChars="0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057" w:type="dxa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after="0" w:line="240" w:lineRule="auto"/>
              <w:ind w:hanging="2" w:firstLineChars="0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1004" w:type="dxa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after="0" w:line="240" w:lineRule="auto"/>
              <w:ind w:hanging="2" w:firstLineChars="0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18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  <w:t>+4</w:t>
            </w:r>
          </w:p>
        </w:tc>
      </w:tr>
    </w:tbl>
    <w:p>
      <w:pPr>
        <w:spacing w:after="0" w:line="240" w:lineRule="auto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drawing>
          <wp:inline distT="0" distB="0" distL="114300" distR="114300">
            <wp:extent cx="5080000" cy="3810000"/>
            <wp:effectExtent l="4445" t="4445" r="20955" b="1460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599" w:firstLineChars="214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Уменьшение числа зарегистрированных актов гражданского состояния в 2020 и 2021 году по отношению к 2019 связано с уменьшением зарегистрированных рождений на 19 записей актов (4 %), зарегистрированных браков на 91 (35%) в 2020 году.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 202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 xml:space="preserve">2 году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снижение числа зарегистрированных актов гражданского состояния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 xml:space="preserve"> связано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с введением с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экстерриториальн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ого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принцип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а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регистрации актов гражданского состояния. Государственная регистрация всех видов актов гражданского состояния может производиться любым органом ЗАГС России по выбору заявителей посредством составления в Едином государственном реестре записей актов гражданского состояния соответствующей записи акта гражданского состояния, на основании которой выдается свидетельство о государственной регистрации акта гражданского состояния. Ранее экстерриториальный принцип применялся только в отношении заключения брака: его можно заключить в любом органе ЗАГС страны по выбору лиц, вступающих в брак.</w:t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5676900" cy="346710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Долгожданным и радостным событием в каждой семье становится рождение ребёнка. В этом году на свет появилось 474 малыша, 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данный показатель 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>остался прежним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аналогичного периода 202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>1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года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>. В целом наблюдается незначительное уменьшение количество зарегистрированных актов о рождении.</w:t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 202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 xml:space="preserve">2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году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 xml:space="preserve">, как и в 2021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мальчиков родилось чуть больше, чем девочек </w:t>
      </w:r>
    </w:p>
    <w:p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Выбор имени для ребенка - порой для родителей процесс сложный. Любые родители считают своего ребенка особенным, и хотят, чтобы его жизнь была счастливой.</w:t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 202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2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году мальчиков чаще называли Максим, Артём, Савелий, Амир, Юсуф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Мухаммад, девочек - София, Вероника, Сафия, Арина, Амина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, Аиша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.</w:t>
      </w:r>
    </w:p>
    <w:p>
      <w:pPr>
        <w:spacing w:after="0" w:line="240" w:lineRule="auto"/>
        <w:ind w:firstLine="709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Редкие и единичные имена Стефания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, Агния, Оливия, Мия, Афина, Майя, Гордей, Игнат, Герман, Макар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, необычные –Эдгар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 xml:space="preserve">, Радэль, Радмир, Рувим, Самуил, Мира, Русалина, Алисия, Джейна, Селин. </w:t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У представителей коренных малочисленных народов Севера в 2021 году родилось 1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7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малышей.</w:t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cs="Times New Roman"/>
          <w:sz w:val="28"/>
          <w:szCs w:val="28"/>
        </w:rPr>
        <w:t>В 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2</w:t>
      </w:r>
      <w:r>
        <w:rPr>
          <w:rFonts w:hint="default" w:ascii="Times New Roman" w:hAnsi="Times New Roman" w:cs="Times New Roman"/>
          <w:sz w:val="28"/>
          <w:szCs w:val="28"/>
        </w:rPr>
        <w:t xml:space="preserve"> году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зарегистрировано две пары двойни </w:t>
      </w:r>
      <w:r>
        <w:rPr>
          <w:rFonts w:hint="default" w:ascii="Times New Roman" w:hAnsi="Times New Roman" w:cs="Times New Roman"/>
          <w:sz w:val="28"/>
          <w:szCs w:val="28"/>
        </w:rPr>
        <w:t xml:space="preserve">в сравнении с аналогичным периодом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прошлого года показатель не изменился</w:t>
      </w:r>
      <w:r>
        <w:rPr>
          <w:rFonts w:hint="default" w:ascii="Times New Roman" w:hAnsi="Times New Roman" w:cs="Times New Roman"/>
          <w:sz w:val="28"/>
          <w:szCs w:val="28"/>
        </w:rPr>
        <w:t xml:space="preserve">. 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Замечательно, если ребёнок рожден в семье, где есть оба родителя, но, к сожалению, это не всегда так. В 202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2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году одинокими матерями зарегистрировано 1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4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малышей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</w:t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Отрадно отметить, что наблюдается увеличение рождения второго и третьего ребёнка в семье. Во многом это связано с мерами социальной поддержки семей проводимыми на федеральном и региональном уровне.</w:t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Если первенцев в этом году родилось 1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21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, то вторых детей в семье – 1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36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, в 1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45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семьях родился третий ребенок.</w:t>
      </w:r>
    </w:p>
    <w:p>
      <w:pPr>
        <w:spacing w:after="0" w:line="240" w:lineRule="auto"/>
        <w:ind w:firstLine="709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В 2022 году реализована государственная регистрация рождения в рамках суперсервиса «Рождение ребенка» - регистрация рождения ребенка и получение комплекса социальных услуг без обращения в орган ЗАГС и различные ведомства. Медицинское свидетельство о рождении с согласия получателя формируется в форме электронного документа, что позволяет отдельным категориям граждан подать заявление на регистрацию рождения в орган ЗАГС посредством Единого портала государственных услуг, без личного посещения заявителем органа ЗАГС.  </w:t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ind w:firstLine="709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drawing>
          <wp:inline distT="0" distB="0" distL="0" distR="0">
            <wp:extent cx="5638800" cy="340995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>
      <w:pPr>
        <w:tabs>
          <w:tab w:val="left" w:pos="709"/>
        </w:tabs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 202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2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году зарегистрировано 11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2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актовых записей о смерти, это на 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4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акта меньше прошлого года. </w:t>
      </w:r>
      <w:r>
        <w:rPr>
          <w:rFonts w:hint="default" w:ascii="Times New Roman" w:hAnsi="Times New Roman" w:cs="Times New Roman"/>
          <w:sz w:val="28"/>
          <w:szCs w:val="28"/>
        </w:rPr>
        <w:t xml:space="preserve">Динамика количества регистрации актов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о </w:t>
      </w:r>
      <w:r>
        <w:rPr>
          <w:rFonts w:hint="default" w:ascii="Times New Roman" w:hAnsi="Times New Roman" w:cs="Times New Roman"/>
          <w:sz w:val="28"/>
          <w:szCs w:val="28"/>
        </w:rPr>
        <w:t xml:space="preserve">смерти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за пять  лет остается практически не изменой</w:t>
      </w:r>
      <w:r>
        <w:rPr>
          <w:rFonts w:hint="default" w:ascii="Times New Roman" w:hAnsi="Times New Roman" w:cs="Times New Roman"/>
          <w:sz w:val="28"/>
          <w:szCs w:val="28"/>
        </w:rPr>
        <w:t>.</w:t>
      </w:r>
    </w:p>
    <w:p>
      <w:pPr>
        <w:spacing w:after="0" w:line="240" w:lineRule="auto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По половому признаку смертность выглядит следующим образом: мужчины – 6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9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(в 202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1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году – 6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0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), женщины – 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43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(в 202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1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году – 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56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).</w:t>
      </w:r>
    </w:p>
    <w:p>
      <w:pPr>
        <w:spacing w:after="0" w:line="240" w:lineRule="auto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tbl>
      <w:tblPr>
        <w:tblStyle w:val="6"/>
        <w:tblW w:w="0" w:type="auto"/>
        <w:tblInd w:w="9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69"/>
        <w:gridCol w:w="852"/>
        <w:gridCol w:w="993"/>
        <w:gridCol w:w="874"/>
        <w:gridCol w:w="809"/>
        <w:gridCol w:w="9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6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852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201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993" w:type="dxa"/>
            <w:vAlign w:val="top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874" w:type="dxa"/>
            <w:vAlign w:val="top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809" w:type="dxa"/>
            <w:vAlign w:val="top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982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  <w:t>2022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6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Дети, умершие до 1 года</w:t>
            </w:r>
          </w:p>
        </w:tc>
        <w:tc>
          <w:tcPr>
            <w:tcW w:w="85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vAlign w:val="top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74" w:type="dxa"/>
            <w:vAlign w:val="top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09" w:type="dxa"/>
            <w:vAlign w:val="top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82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6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мертворожденные</w:t>
            </w:r>
          </w:p>
        </w:tc>
        <w:tc>
          <w:tcPr>
            <w:tcW w:w="85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993" w:type="dxa"/>
            <w:vAlign w:val="top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74" w:type="dxa"/>
            <w:vAlign w:val="top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09" w:type="dxa"/>
            <w:vAlign w:val="top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82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  <w:t>0</w:t>
            </w:r>
          </w:p>
        </w:tc>
      </w:tr>
    </w:tbl>
    <w:p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  </w:t>
      </w:r>
    </w:p>
    <w:p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   Основными причинами смерти остаются сердечно-сосудистые заболевания и онкология.</w:t>
      </w:r>
    </w:p>
    <w:p>
      <w:pPr>
        <w:spacing w:after="0" w:line="240" w:lineRule="auto"/>
        <w:ind w:firstLine="709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По количеству зарегистрированных актов гражданского состояния, естественный прирост населения по г. Лянтор за 202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2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год составил – 3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62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человека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.</w:t>
      </w:r>
    </w:p>
    <w:p>
      <w:pPr>
        <w:spacing w:after="0" w:line="240" w:lineRule="auto"/>
        <w:ind w:firstLine="709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</w:pPr>
    </w:p>
    <w:p>
      <w:pPr>
        <w:spacing w:after="0" w:line="240" w:lineRule="auto"/>
        <w:ind w:firstLine="709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</w:pPr>
    </w:p>
    <w:p>
      <w:pPr>
        <w:spacing w:after="0" w:line="240" w:lineRule="auto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Сравнительные показатели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971800" cy="3086100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3133725" cy="3086100"/>
            <wp:effectExtent l="0" t="0" r="9525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 отчетном периоде 2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1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2 пар новобрачных сказали: «Да!» законному браку. </w:t>
      </w:r>
    </w:p>
    <w:p>
      <w:pPr>
        <w:spacing w:after="0" w:line="240" w:lineRule="auto"/>
        <w:ind w:firstLine="709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drawing>
          <wp:inline distT="0" distB="0" distL="0" distR="0">
            <wp:extent cx="4924425" cy="2667000"/>
            <wp:effectExtent l="0" t="0" r="9525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По итогам года наблюдается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снижение</w:t>
      </w:r>
      <w:r>
        <w:rPr>
          <w:rFonts w:hint="default" w:ascii="Times New Roman" w:hAnsi="Times New Roman" w:cs="Times New Roman"/>
          <w:sz w:val="28"/>
          <w:szCs w:val="28"/>
        </w:rPr>
        <w:t xml:space="preserve"> количества зарегистрированных браков на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10</w:t>
      </w:r>
      <w:r>
        <w:rPr>
          <w:rFonts w:hint="default" w:ascii="Times New Roman" w:hAnsi="Times New Roman" w:cs="Times New Roman"/>
          <w:sz w:val="28"/>
          <w:szCs w:val="28"/>
        </w:rPr>
        <w:t xml:space="preserve"> актовых записей в сравнении с 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1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годом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 динамике наблюдается снижение количества регистраций заключения брака.</w:t>
      </w:r>
    </w:p>
    <w:tbl>
      <w:tblPr>
        <w:tblStyle w:val="6"/>
        <w:tblpPr w:leftFromText="180" w:rightFromText="180" w:vertAnchor="text" w:horzAnchor="margin" w:tblpXSpec="center" w:tblpY="203"/>
        <w:tblW w:w="836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3"/>
        <w:gridCol w:w="982"/>
        <w:gridCol w:w="1015"/>
        <w:gridCol w:w="1068"/>
        <w:gridCol w:w="982"/>
        <w:gridCol w:w="10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93" w:type="dxa"/>
          </w:tcPr>
          <w:p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Заключение брака</w:t>
            </w:r>
          </w:p>
        </w:tc>
        <w:tc>
          <w:tcPr>
            <w:tcW w:w="982" w:type="dxa"/>
            <w:vAlign w:val="center"/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  <w:t>2018</w:t>
            </w:r>
          </w:p>
        </w:tc>
        <w:tc>
          <w:tcPr>
            <w:tcW w:w="1015" w:type="dxa"/>
            <w:vAlign w:val="center"/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1068" w:type="dxa"/>
            <w:vAlign w:val="center"/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982" w:type="dxa"/>
            <w:vAlign w:val="center"/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024" w:type="dxa"/>
            <w:vAlign w:val="center"/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  <w:t>2022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93" w:type="dxa"/>
          </w:tcPr>
          <w:p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 несовершеннолетними</w:t>
            </w:r>
          </w:p>
          <w:p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гражданами</w:t>
            </w:r>
          </w:p>
        </w:tc>
        <w:tc>
          <w:tcPr>
            <w:tcW w:w="982" w:type="dxa"/>
            <w:vAlign w:val="center"/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15" w:type="dxa"/>
            <w:vAlign w:val="center"/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68" w:type="dxa"/>
            <w:vAlign w:val="center"/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82" w:type="dxa"/>
            <w:vAlign w:val="center"/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24" w:type="dxa"/>
            <w:vAlign w:val="center"/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93" w:type="dxa"/>
          </w:tcPr>
          <w:p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 иностранными гражданами</w:t>
            </w:r>
          </w:p>
        </w:tc>
        <w:tc>
          <w:tcPr>
            <w:tcW w:w="982" w:type="dxa"/>
            <w:vAlign w:val="center"/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015" w:type="dxa"/>
            <w:vAlign w:val="center"/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068" w:type="dxa"/>
            <w:vAlign w:val="center"/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982" w:type="dxa"/>
            <w:vAlign w:val="center"/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1024" w:type="dxa"/>
            <w:vAlign w:val="center"/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  <w:t>33</w:t>
            </w:r>
          </w:p>
        </w:tc>
      </w:tr>
    </w:tbl>
    <w:p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С 2017 года регистрация заключения браков с несовершеннолетними гражданами не производилась.</w:t>
      </w:r>
    </w:p>
    <w:p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В 2</w:t>
      </w:r>
      <w:r>
        <w:rPr>
          <w:rFonts w:hint="default" w:ascii="Times New Roman" w:hAnsi="Times New Roman" w:cs="Times New Roman"/>
          <w:color w:val="020B22"/>
          <w:sz w:val="28"/>
          <w:szCs w:val="28"/>
          <w:shd w:val="clear" w:color="auto" w:fill="FFFFFF"/>
          <w:lang w:val="ru-RU"/>
        </w:rPr>
        <w:t>022 году наблюдается снижение регистрации браков с гражданами иностранных государств</w:t>
      </w:r>
      <w:r>
        <w:rPr>
          <w:rFonts w:hint="default" w:ascii="Times New Roman" w:hAnsi="Times New Roman" w:cs="Times New Roman"/>
          <w:color w:val="020B22"/>
          <w:sz w:val="28"/>
          <w:szCs w:val="28"/>
          <w:shd w:val="clear" w:color="auto" w:fill="FFFFFF"/>
        </w:rPr>
        <w:t>.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Чаще браки регистрируются с гражданами Республики Таджикистан, Азербайджана, Киргизии, Казахстана.</w:t>
      </w:r>
    </w:p>
    <w:p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</w:p>
    <w:p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drawing>
          <wp:inline distT="0" distB="0" distL="0" distR="0">
            <wp:extent cx="5419725" cy="3028950"/>
            <wp:effectExtent l="0" t="0" r="9525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С 2019 года наблюдается тенденция увеличения количества расторжения баков. В большинстве случаев основанием для регистрации расторжения брака супругов остаётся решение суда - таких актов зарегистрировано 14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7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. По совместному заявлению супругов, не имеющих общих несовершеннолетних детей – 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39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. По приговору суда – 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0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.</w:t>
      </w:r>
    </w:p>
    <w:p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Наибольшее количество расторжений брака отличается в возрастном диапазоне 25-40 лет. Таким образом, в зону максимального риска попадают молодые пары, имеющие общих несовершеннолетних детей.</w:t>
      </w:r>
    </w:p>
    <w:p>
      <w:pPr>
        <w:spacing w:after="0" w:line="240" w:lineRule="auto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 202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2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году зарегистрировано 4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7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(202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1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– 4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3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) актов об установлении отцовства. </w:t>
      </w:r>
    </w:p>
    <w:p>
      <w:pPr>
        <w:spacing w:after="0" w:line="240" w:lineRule="auto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tbl>
      <w:tblPr>
        <w:tblStyle w:val="6"/>
        <w:tblW w:w="822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03"/>
        <w:gridCol w:w="2369"/>
        <w:gridCol w:w="25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3" w:type="dxa"/>
            <w:vMerge w:val="restart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Государственная пошлина за регистрация актов гражданского состояния</w:t>
            </w:r>
          </w:p>
        </w:tc>
        <w:tc>
          <w:tcPr>
            <w:tcW w:w="2369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202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2552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202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  <w:jc w:val="center"/>
        </w:trPr>
        <w:tc>
          <w:tcPr>
            <w:tcW w:w="3303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258,045 тыс. руб.</w:t>
            </w:r>
          </w:p>
        </w:tc>
        <w:tc>
          <w:tcPr>
            <w:tcW w:w="2552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  <w:t>34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,5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  <w:t>90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 тыс. руб.</w:t>
            </w:r>
          </w:p>
        </w:tc>
      </w:tr>
    </w:tbl>
    <w:p>
      <w:pPr>
        <w:tabs>
          <w:tab w:val="left" w:pos="0"/>
        </w:tabs>
        <w:spacing w:after="0" w:line="276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Уменьшение взысканной в 202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2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году государственной пошлины на 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23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455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рублей, связан с уменьшением поступивших заявлений на регистрацию заключения и расторжения брака.</w:t>
      </w:r>
    </w:p>
    <w:p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eastAsia="Calibri" w:cs="Times New Roman"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>На протяжении нескольких лет особое внимание уделяется укреплению авторитета семьи, потому что условием благополучного развития любого государства является крепкая и дружная семья, именно через семью осуществляется передача мудрости, традиций и заветов предков.</w:t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В городе стало доброй традицией отмечать юбилеи семейной жизни. В Службе ЗАГС есть «Книга Счастливых Семей», где хранится летопись пар, идущих вместе по жизненному пути много лет.</w:t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29 января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202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2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года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50-летие совместной жизни отметила семья Гааз. Иван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Антонович и Вера Васильевна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городе Лянтор проживают с 198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4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года. </w:t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Свои подписи «золотые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молодожёны», по доброй лянторской традиции, поставили в Книге счастливых семей города, открыв череду чествования супружеских пар города.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5925185" cy="3950970"/>
            <wp:effectExtent l="0" t="0" r="18415" b="11430"/>
            <wp:docPr id="1" name="Изображение 1" descr="jzcob_VMx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jzcob_VMx8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5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октября 202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2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</w:t>
      </w: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апфировый юбилей</w:t>
      </w: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отметили супруги </w:t>
      </w: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Тоцкие</w:t>
      </w: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Анатолий Григорьевич</w:t>
      </w: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Нина Александро</w:t>
      </w: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вна. </w:t>
      </w: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С 1986 года проживают в городе, трудовая деятельность прошла в Лянторском автотранспортном предприятии. </w:t>
      </w:r>
    </w:p>
    <w:p>
      <w:pPr>
        <w:ind w:firstLine="709"/>
        <w:jc w:val="both"/>
        <w:rPr>
          <w:rFonts w:hint="default"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>
        <w:rPr>
          <w:rFonts w:hint="default" w:ascii="Times New Roman" w:hAnsi="Times New Roman" w:eastAsia="Times New Roman" w:cs="Times New Roman"/>
          <w:bCs/>
          <w:color w:val="000000"/>
          <w:sz w:val="28"/>
          <w:szCs w:val="28"/>
          <w:shd w:val="clear" w:color="auto" w:fill="FFFFFF"/>
          <w:lang w:val="en-US" w:eastAsia="ru-RU"/>
        </w:rPr>
        <w:t>15</w:t>
      </w: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августа</w:t>
      </w:r>
      <w:r>
        <w:rPr>
          <w:rFonts w:hint="default" w:ascii="Times New Roman" w:hAnsi="Times New Roman" w:eastAsia="Times New Roman" w:cs="Times New Roman"/>
          <w:bCs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202</w:t>
      </w:r>
      <w:r>
        <w:rPr>
          <w:rFonts w:hint="default" w:ascii="Times New Roman" w:hAnsi="Times New Roman" w:eastAsia="Times New Roman" w:cs="Times New Roman"/>
          <w:bCs/>
          <w:color w:val="000000"/>
          <w:sz w:val="28"/>
          <w:szCs w:val="28"/>
          <w:shd w:val="clear" w:color="auto" w:fill="FFFFFF"/>
          <w:lang w:val="en-US" w:eastAsia="ru-RU"/>
        </w:rPr>
        <w:t>2 с</w:t>
      </w:r>
      <w:r>
        <w:rPr>
          <w:rFonts w:hint="default"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упруги </w:t>
      </w:r>
      <w:r>
        <w:rPr>
          <w:rFonts w:hint="default" w:ascii="Times New Roman" w:hAnsi="Times New Roman" w:cs="Times New Roman"/>
          <w:bCs/>
          <w:color w:val="222222"/>
          <w:sz w:val="28"/>
          <w:szCs w:val="28"/>
          <w:shd w:val="clear" w:color="auto" w:fill="FFFFFF"/>
          <w:lang w:val="ru-RU"/>
        </w:rPr>
        <w:t xml:space="preserve">Георгий </w:t>
      </w:r>
      <w:r>
        <w:rPr>
          <w:rFonts w:hint="default"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и </w:t>
      </w:r>
      <w:r>
        <w:rPr>
          <w:rFonts w:hint="default" w:ascii="Times New Roman" w:hAnsi="Times New Roman" w:cs="Times New Roman"/>
          <w:bCs/>
          <w:color w:val="222222"/>
          <w:sz w:val="28"/>
          <w:szCs w:val="28"/>
          <w:shd w:val="clear" w:color="auto" w:fill="FFFFFF"/>
          <w:lang w:val="ru-RU"/>
        </w:rPr>
        <w:t>Евгения</w:t>
      </w:r>
      <w:r>
        <w:rPr>
          <w:rFonts w:hint="default"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 </w:t>
      </w:r>
      <w:r>
        <w:rPr>
          <w:rFonts w:hint="default" w:ascii="Times New Roman" w:hAnsi="Times New Roman" w:cs="Times New Roman"/>
          <w:sz w:val="28"/>
          <w:szCs w:val="28"/>
          <w:u w:val="none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  <w:u w:val="none"/>
        </w:rPr>
        <w:instrText xml:space="preserve"> HYPERLINK "https://surgut.bezformata.com/word/barkarov/1210131/" \o "Баркар" </w:instrText>
      </w:r>
      <w:r>
        <w:rPr>
          <w:rFonts w:hint="default" w:ascii="Times New Roman" w:hAnsi="Times New Roman" w:cs="Times New Roman"/>
          <w:sz w:val="28"/>
          <w:szCs w:val="28"/>
          <w:u w:val="none"/>
        </w:rPr>
        <w:fldChar w:fldCharType="separate"/>
      </w:r>
      <w:r>
        <w:rPr>
          <w:rStyle w:val="4"/>
          <w:rFonts w:hint="default" w:ascii="Times New Roman" w:hAnsi="Times New Roman" w:cs="Times New Roman"/>
          <w:bCs/>
          <w:color w:val="auto"/>
          <w:sz w:val="28"/>
          <w:szCs w:val="28"/>
          <w:u w:val="none"/>
          <w:shd w:val="clear" w:color="auto" w:fill="FFFFFF"/>
        </w:rPr>
        <w:t>Б</w:t>
      </w:r>
      <w:r>
        <w:rPr>
          <w:rStyle w:val="4"/>
          <w:rFonts w:hint="default" w:ascii="Times New Roman" w:hAnsi="Times New Roman" w:cs="Times New Roman"/>
          <w:bCs/>
          <w:color w:val="auto"/>
          <w:sz w:val="28"/>
          <w:szCs w:val="28"/>
          <w:u w:val="none"/>
          <w:shd w:val="clear" w:color="auto" w:fill="FFFFFF"/>
        </w:rPr>
        <w:fldChar w:fldCharType="end"/>
      </w:r>
      <w:r>
        <w:rPr>
          <w:rStyle w:val="4"/>
          <w:rFonts w:hint="default" w:ascii="Times New Roman" w:hAnsi="Times New Roman" w:cs="Times New Roman"/>
          <w:bCs/>
          <w:color w:val="auto"/>
          <w:sz w:val="28"/>
          <w:szCs w:val="28"/>
          <w:u w:val="none"/>
          <w:shd w:val="clear" w:color="auto" w:fill="FFFFFF"/>
        </w:rPr>
        <w:t>огдан</w:t>
      </w:r>
      <w:r>
        <w:rPr>
          <w:rFonts w:hint="default" w:ascii="Times New Roman" w:hAnsi="Times New Roman" w:cs="Times New Roman"/>
          <w:bCs/>
          <w:color w:val="222222"/>
          <w:sz w:val="28"/>
          <w:szCs w:val="28"/>
          <w:u w:val="none"/>
          <w:shd w:val="clear" w:color="auto" w:fill="FFFFFF"/>
        </w:rPr>
        <w:t> </w:t>
      </w:r>
      <w:r>
        <w:rPr>
          <w:rFonts w:hint="default"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отметили</w:t>
      </w:r>
      <w:r>
        <w:rPr>
          <w:rFonts w:hint="default"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5</w:t>
      </w:r>
      <w:r>
        <w:rPr>
          <w:rFonts w:hint="default"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0</w:t>
      </w:r>
      <w:r>
        <w:rPr>
          <w:rFonts w:hint="default" w:ascii="Times New Roman" w:hAnsi="Times New Roman" w:cs="Times New Roman"/>
          <w:color w:val="222222"/>
          <w:sz w:val="28"/>
          <w:szCs w:val="28"/>
          <w:shd w:val="clear" w:color="auto" w:fill="FFFFFF"/>
        </w:rPr>
        <w:t>-ю годовщину свадьбы. Своим главным достижением супруги считают дв</w:t>
      </w:r>
      <w:r>
        <w:rPr>
          <w:rFonts w:hint="default"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ои</w:t>
      </w:r>
      <w:r>
        <w:rPr>
          <w:rFonts w:hint="default"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х </w:t>
      </w:r>
      <w:r>
        <w:rPr>
          <w:rFonts w:hint="default"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сыновей и </w:t>
      </w:r>
      <w:r>
        <w:rPr>
          <w:rFonts w:hint="default" w:ascii="Times New Roman" w:hAnsi="Times New Roman" w:cs="Times New Roman"/>
          <w:color w:val="222222"/>
          <w:sz w:val="28"/>
          <w:szCs w:val="28"/>
          <w:shd w:val="clear" w:color="auto" w:fill="FFFFFF"/>
        </w:rPr>
        <w:t>доч</w:t>
      </w:r>
      <w:r>
        <w:rPr>
          <w:rFonts w:hint="default"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ь</w:t>
      </w:r>
      <w:r>
        <w:rPr>
          <w:rFonts w:hint="default" w:ascii="Times New Roman" w:hAnsi="Times New Roman" w:cs="Times New Roman"/>
          <w:color w:val="222222"/>
          <w:sz w:val="28"/>
          <w:szCs w:val="28"/>
          <w:shd w:val="clear" w:color="auto" w:fill="FFFFFF"/>
        </w:rPr>
        <w:t>, четырех внук</w:t>
      </w:r>
      <w:r>
        <w:rPr>
          <w:rFonts w:hint="default"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ов</w:t>
      </w:r>
      <w:r>
        <w:rPr>
          <w:rFonts w:hint="default"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>
        <w:rPr>
          <w:rFonts w:hint="default"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 </w:t>
      </w:r>
    </w:p>
    <w:p>
      <w:pPr>
        <w:spacing w:after="0" w:line="240" w:lineRule="auto"/>
        <w:ind w:firstLine="709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5937250" cy="3959225"/>
            <wp:effectExtent l="0" t="0" r="6350" b="3175"/>
            <wp:docPr id="2" name="Изображение 2" descr="IMG_2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68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Свадьба - важное событие в жизни, поэтому молодожены подходят ответственно не только к выбору спутника или спутницы жизни, но и к дате регистрации. Традиционно в день семьи, любви и верности проводятся регистрации заключения брака. </w:t>
      </w:r>
    </w:p>
    <w:p>
      <w:pPr>
        <w:ind w:firstLine="709"/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8 июля 202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2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года стал знаковым событием для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 xml:space="preserve"> трех лянторских пар.   </w:t>
      </w:r>
      <w:r>
        <w:rPr>
          <w:rFonts w:hint="default" w:ascii="Times New Roman" w:hAnsi="Times New Roman" w:cs="Times New Roman"/>
          <w:sz w:val="28"/>
          <w:szCs w:val="28"/>
        </w:rPr>
        <w:t>На протяжении десятилетия актуальна регистрация заключения брака в красивые и зеркальные даты (2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2</w:t>
      </w:r>
      <w:r>
        <w:rPr>
          <w:rFonts w:hint="default" w:ascii="Times New Roman" w:hAnsi="Times New Roman" w:cs="Times New Roman"/>
          <w:sz w:val="28"/>
          <w:szCs w:val="28"/>
        </w:rPr>
        <w:t>.01.2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2</w:t>
      </w:r>
      <w:r>
        <w:rPr>
          <w:rFonts w:hint="default" w:ascii="Times New Roman" w:hAnsi="Times New Roman" w:cs="Times New Roman"/>
          <w:sz w:val="28"/>
          <w:szCs w:val="28"/>
        </w:rPr>
        <w:t>, 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2</w:t>
      </w:r>
      <w:r>
        <w:rPr>
          <w:rFonts w:hint="default" w:ascii="Times New Roman" w:hAnsi="Times New Roman" w:cs="Times New Roman"/>
          <w:sz w:val="28"/>
          <w:szCs w:val="28"/>
        </w:rPr>
        <w:t>.0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2</w:t>
      </w:r>
      <w:r>
        <w:rPr>
          <w:rFonts w:hint="default" w:ascii="Times New Roman" w:hAnsi="Times New Roman" w:cs="Times New Roman"/>
          <w:sz w:val="28"/>
          <w:szCs w:val="28"/>
        </w:rPr>
        <w:t>.2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2</w:t>
      </w:r>
      <w:r>
        <w:rPr>
          <w:rFonts w:hint="default" w:ascii="Times New Roman" w:hAnsi="Times New Roman" w:cs="Times New Roman"/>
          <w:sz w:val="28"/>
          <w:szCs w:val="28"/>
        </w:rPr>
        <w:t>, 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2</w:t>
      </w:r>
      <w:r>
        <w:rPr>
          <w:rFonts w:hint="default" w:ascii="Times New Roman" w:hAnsi="Times New Roman" w:cs="Times New Roman"/>
          <w:sz w:val="28"/>
          <w:szCs w:val="28"/>
        </w:rPr>
        <w:t>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04</w:t>
      </w:r>
      <w:r>
        <w:rPr>
          <w:rFonts w:hint="default" w:ascii="Times New Roman" w:hAnsi="Times New Roman" w:cs="Times New Roman"/>
          <w:sz w:val="28"/>
          <w:szCs w:val="28"/>
        </w:rPr>
        <w:t>.2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2</w:t>
      </w:r>
      <w:r>
        <w:rPr>
          <w:rFonts w:hint="default" w:ascii="Times New Roman" w:hAnsi="Times New Roman" w:cs="Times New Roman"/>
          <w:sz w:val="28"/>
          <w:szCs w:val="28"/>
        </w:rPr>
        <w:t>, 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2</w:t>
      </w:r>
      <w:r>
        <w:rPr>
          <w:rFonts w:hint="default" w:ascii="Times New Roman" w:hAnsi="Times New Roman" w:cs="Times New Roman"/>
          <w:sz w:val="28"/>
          <w:szCs w:val="28"/>
        </w:rPr>
        <w:t>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06</w:t>
      </w:r>
      <w:r>
        <w:rPr>
          <w:rFonts w:hint="default" w:ascii="Times New Roman" w:hAnsi="Times New Roman" w:cs="Times New Roman"/>
          <w:sz w:val="28"/>
          <w:szCs w:val="28"/>
        </w:rPr>
        <w:t>.2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2, 02.07.22, 22.07.22</w:t>
      </w:r>
      <w:r>
        <w:rPr>
          <w:rFonts w:hint="default" w:ascii="Times New Roman" w:hAnsi="Times New Roman" w:cs="Times New Roman"/>
          <w:sz w:val="28"/>
          <w:szCs w:val="28"/>
        </w:rPr>
        <w:t>). О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</w:rPr>
        <w:t xml:space="preserve">пределенная последовательность чисел в дате календаря по-прежнему манит будущих супругов в </w:t>
      </w:r>
      <w:r>
        <w:rPr>
          <w:rFonts w:hint="default" w:ascii="Times New Roman" w:hAnsi="Times New Roman" w:cs="Times New Roman"/>
          <w:sz w:val="28"/>
          <w:szCs w:val="28"/>
        </w:rPr>
        <w:t>орган ЗАГС. В 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2</w:t>
      </w:r>
      <w:r>
        <w:rPr>
          <w:rFonts w:hint="default" w:ascii="Times New Roman" w:hAnsi="Times New Roman" w:cs="Times New Roman"/>
          <w:sz w:val="28"/>
          <w:szCs w:val="28"/>
        </w:rPr>
        <w:t xml:space="preserve"> году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33</w:t>
      </w:r>
      <w:r>
        <w:rPr>
          <w:rFonts w:hint="default" w:ascii="Times New Roman" w:hAnsi="Times New Roman" w:cs="Times New Roman"/>
          <w:sz w:val="28"/>
          <w:szCs w:val="28"/>
        </w:rPr>
        <w:t xml:space="preserve"> пар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ы</w:t>
      </w:r>
      <w:r>
        <w:rPr>
          <w:rFonts w:hint="default" w:ascii="Times New Roman" w:hAnsi="Times New Roman" w:cs="Times New Roman"/>
          <w:sz w:val="28"/>
          <w:szCs w:val="28"/>
        </w:rPr>
        <w:t xml:space="preserve"> города официально заключили свой союз. Самое большое количество пар (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7</w:t>
      </w:r>
      <w:r>
        <w:rPr>
          <w:rFonts w:hint="default" w:ascii="Times New Roman" w:hAnsi="Times New Roman" w:cs="Times New Roman"/>
          <w:sz w:val="28"/>
          <w:szCs w:val="28"/>
        </w:rPr>
        <w:t xml:space="preserve">), зарегистрировавших 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>свои отношения было 2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>2 января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202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>2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года.</w:t>
      </w: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drawing>
          <wp:inline distT="0" distB="0" distL="114300" distR="114300">
            <wp:extent cx="5934710" cy="7912735"/>
            <wp:effectExtent l="0" t="0" r="8890" b="12065"/>
            <wp:docPr id="3" name="Изображение 3" descr="Тумашовы Богдан и Па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Тумашовы Богдан и Палина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791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drawing>
          <wp:inline distT="0" distB="0" distL="114300" distR="114300">
            <wp:extent cx="5927725" cy="3334385"/>
            <wp:effectExtent l="0" t="0" r="15875" b="18415"/>
            <wp:docPr id="4" name="Изображение 4" descr="IMG_20220122_143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0220122_1435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7725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Администрацией города на протяжении нескольких лет проводится цикл мероприятий, направленных на реализацию государственной политики в области семейного права, укрепления авторитета института семьи и популяризации семейных ценностей. </w:t>
      </w:r>
    </w:p>
    <w:p>
      <w:pPr>
        <w:ind w:firstLine="709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12 июня 2022 года празднование Дня России и Дня города на городской площади шести семьям были вручены свидетельства о рождении детей.</w:t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drawing>
          <wp:inline distT="0" distB="0" distL="114300" distR="114300">
            <wp:extent cx="5925185" cy="3950970"/>
            <wp:effectExtent l="0" t="0" r="18415" b="11430"/>
            <wp:docPr id="5" name="Изображение 5" descr="12.06.2022 вручение свидетельст о рожд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12.06.2022 вручение свидетельст о рождении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09"/>
        <w:jc w:val="both"/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15 июля 2022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года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в торжественном зале 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fldChar w:fldCharType="begin"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instrText xml:space="preserve"> HYPERLINK "https://vk.com/kck.ubileyny" </w:instrTex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fldChar w:fldCharType="separate"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  <w:lang w:val="ru-RU"/>
        </w:rPr>
        <w:t xml:space="preserve">культурно-спортивного комплекса </w:t>
      </w:r>
      <w:r>
        <w:rPr>
          <w:rStyle w:val="4"/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«Юбилейный»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fldChar w:fldCharType="end"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состоялась церемония заключения брака семьи Демьяновых.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Виновников торжества поздравил и вручил свидетельство о заключении брака Глава города Сергей Махиня.</w:t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drawing>
          <wp:inline distT="0" distB="0" distL="114300" distR="114300">
            <wp:extent cx="5937250" cy="3956685"/>
            <wp:effectExtent l="0" t="0" r="6350" b="5715"/>
            <wp:docPr id="6" name="Изображение 6" descr="y0QMLenff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y0QMLenffps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ind w:firstLine="709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Органы ЗАГС России в 2022 году отметили 105 лет со дня образования.</w:t>
      </w:r>
    </w:p>
    <w:p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  <w:t>22 июля для трех пар г. Лянтор  этот день стал по особенному счастливым, но самым ярким и запоминающимся этот день будет для семьи Поповых.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В год 105-летия со дня образования органов ЗАГС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>,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именно 22.07.2022 за №105 была составлена запись акта о заключении брака Владислава и Маргариты.</w:t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drawing>
          <wp:inline distT="0" distB="0" distL="114300" distR="114300">
            <wp:extent cx="5932170" cy="7909560"/>
            <wp:effectExtent l="0" t="0" r="11430" b="15240"/>
            <wp:docPr id="7" name="Изображение 7" descr="165848680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165848680129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790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Информация о проведённых мероприятиях, статистические данные в течение года размещалась в сети Интернет на официальной странице «В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 xml:space="preserve"> </w:t>
      </w:r>
      <w:bookmarkStart w:id="0" w:name="_GoBack"/>
      <w:bookmarkEnd w:id="0"/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Контакте» Пресс-служба Главы города Лянтор.</w:t>
      </w:r>
    </w:p>
    <w:p/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Verdana">
    <w:panose1 w:val="020B0604030504040204"/>
    <w:charset w:val="CC"/>
    <w:family w:val="swiss"/>
    <w:pitch w:val="default"/>
    <w:sig w:usb0="A10006FF" w:usb1="4000205B" w:usb2="00000010" w:usb3="00000000" w:csb0="2000019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D7C"/>
    <w:rsid w:val="00286243"/>
    <w:rsid w:val="006018C3"/>
    <w:rsid w:val="00906D7C"/>
    <w:rsid w:val="044B1342"/>
    <w:rsid w:val="0CCF0636"/>
    <w:rsid w:val="136D61CA"/>
    <w:rsid w:val="15B17473"/>
    <w:rsid w:val="17767C04"/>
    <w:rsid w:val="1A5030EF"/>
    <w:rsid w:val="1F043969"/>
    <w:rsid w:val="3A9A1557"/>
    <w:rsid w:val="3EE90E91"/>
    <w:rsid w:val="40102717"/>
    <w:rsid w:val="543E4DD6"/>
    <w:rsid w:val="55885E8E"/>
    <w:rsid w:val="5DB83695"/>
    <w:rsid w:val="7449322F"/>
    <w:rsid w:val="7B024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qFormat/>
    <w:uiPriority w:val="0"/>
    <w:rPr>
      <w:rFonts w:ascii="Calibri" w:hAnsi="Calibri" w:eastAsia="Calibri" w:cs="SimSun"/>
      <w:color w:val="0000FF"/>
      <w:sz w:val="22"/>
      <w:szCs w:val="22"/>
      <w:u w:val="single"/>
      <w:lang w:val="ru-RU" w:eastAsia="en-US" w:bidi="ar-SA"/>
    </w:rPr>
  </w:style>
  <w:style w:type="paragraph" w:styleId="5">
    <w:name w:val="Normal (Web)"/>
    <w:basedOn w:val="1"/>
    <w:qFormat/>
    <w:uiPriority w:val="99"/>
    <w:pPr>
      <w:spacing w:before="100" w:beforeAutospacing="1" w:after="100" w:afterAutospacing="1" w:line="259" w:lineRule="auto"/>
    </w:pPr>
    <w:rPr>
      <w:rFonts w:ascii="Calibri" w:hAnsi="Calibri" w:eastAsia="Calibri" w:cs="SimSun"/>
      <w:sz w:val="24"/>
      <w:szCs w:val="24"/>
      <w:lang w:eastAsia="en-US"/>
    </w:rPr>
  </w:style>
  <w:style w:type="table" w:styleId="6">
    <w:name w:val="Table Grid"/>
    <w:basedOn w:val="3"/>
    <w:qFormat/>
    <w:uiPriority w:val="59"/>
    <w:pPr>
      <w:spacing w:after="0" w:line="240" w:lineRule="auto"/>
      <w:jc w:val="both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hart" Target="charts/chart4.xml"/><Relationship Id="rId8" Type="http://schemas.openxmlformats.org/officeDocument/2006/relationships/chart" Target="charts/chart3.xml"/><Relationship Id="rId7" Type="http://schemas.openxmlformats.org/officeDocument/2006/relationships/chart" Target="charts/chart2.xml"/><Relationship Id="rId6" Type="http://schemas.openxmlformats.org/officeDocument/2006/relationships/chart" Target="charts/chart1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7.jpeg"/><Relationship Id="rId18" Type="http://schemas.openxmlformats.org/officeDocument/2006/relationships/image" Target="media/image6.jpeg"/><Relationship Id="rId17" Type="http://schemas.openxmlformats.org/officeDocument/2006/relationships/image" Target="media/image5.jpeg"/><Relationship Id="rId16" Type="http://schemas.openxmlformats.org/officeDocument/2006/relationships/image" Target="media/image4.jpeg"/><Relationship Id="rId15" Type="http://schemas.openxmlformats.org/officeDocument/2006/relationships/image" Target="media/image3.jpeg"/><Relationship Id="rId14" Type="http://schemas.openxmlformats.org/officeDocument/2006/relationships/image" Target="media/image2.jpeg"/><Relationship Id="rId13" Type="http://schemas.openxmlformats.org/officeDocument/2006/relationships/image" Target="media/image1.jpeg"/><Relationship Id="rId12" Type="http://schemas.openxmlformats.org/officeDocument/2006/relationships/chart" Target="charts/chart7.xml"/><Relationship Id="rId11" Type="http://schemas.openxmlformats.org/officeDocument/2006/relationships/chart" Target="charts/chart6.xml"/><Relationship Id="rId10" Type="http://schemas.openxmlformats.org/officeDocument/2006/relationships/chart" Target="charts/chart5.xml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3.xml"/><Relationship Id="rId2" Type="http://schemas.microsoft.com/office/2011/relationships/chartStyle" Target="style3.xml"/><Relationship Id="rId1" Type="http://schemas.openxmlformats.org/officeDocument/2006/relationships/package" Target="../embeddings/Workbook3.xlsx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ColorStyle" Target="colors4.xml"/><Relationship Id="rId2" Type="http://schemas.microsoft.com/office/2011/relationships/chartStyle" Target="style4.xml"/><Relationship Id="rId1" Type="http://schemas.openxmlformats.org/officeDocument/2006/relationships/package" Target="../embeddings/Workbook4.xlsx"/></Relationships>
</file>

<file path=word/charts/_rels/chart3.xml.rels><?xml version="1.0" encoding="UTF-8" standalone="yes"?>
<Relationships xmlns="http://schemas.openxmlformats.org/package/2006/relationships"><Relationship Id="rId4" Type="http://schemas.microsoft.com/office/2011/relationships/chartColorStyle" Target="colors1.xml"/><Relationship Id="rId3" Type="http://schemas.microsoft.com/office/2011/relationships/chartStyle" Target="style1.xml"/><Relationship Id="rId2" Type="http://schemas.openxmlformats.org/officeDocument/2006/relationships/themeOverride" Target="../theme/themeOverride1.xml"/><Relationship Id="rId1" Type="http://schemas.openxmlformats.org/officeDocument/2006/relationships/package" Target="../embeddings/Workbook1.xlsx"/></Relationships>
</file>

<file path=word/charts/_rels/chart4.xml.rels><?xml version="1.0" encoding="UTF-8" standalone="yes"?>
<Relationships xmlns="http://schemas.openxmlformats.org/package/2006/relationships"><Relationship Id="rId4" Type="http://schemas.microsoft.com/office/2011/relationships/chartColorStyle" Target="colors2.xml"/><Relationship Id="rId3" Type="http://schemas.microsoft.com/office/2011/relationships/chartStyle" Target="style2.xml"/><Relationship Id="rId2" Type="http://schemas.openxmlformats.org/officeDocument/2006/relationships/themeOverride" Target="../theme/themeOverride2.xml"/><Relationship Id="rId1" Type="http://schemas.openxmlformats.org/officeDocument/2006/relationships/package" Target="../embeddings/Workbook2.xlsx"/></Relationships>
</file>

<file path=word/charts/_rels/chart5.xml.rels><?xml version="1.0" encoding="UTF-8" standalone="yes"?>
<Relationships xmlns="http://schemas.openxmlformats.org/package/2006/relationships"><Relationship Id="rId4" Type="http://schemas.microsoft.com/office/2011/relationships/chartColorStyle" Target="colors5.xml"/><Relationship Id="rId3" Type="http://schemas.microsoft.com/office/2011/relationships/chartStyle" Target="style5.xml"/><Relationship Id="rId2" Type="http://schemas.openxmlformats.org/officeDocument/2006/relationships/themeOverride" Target="../theme/themeOverride3.xml"/><Relationship Id="rId1" Type="http://schemas.openxmlformats.org/officeDocument/2006/relationships/package" Target="../embeddings/Workbook5.xlsx"/></Relationships>
</file>

<file path=word/charts/_rels/chart6.xml.rels><?xml version="1.0" encoding="UTF-8" standalone="yes"?>
<Relationships xmlns="http://schemas.openxmlformats.org/package/2006/relationships"><Relationship Id="rId4" Type="http://schemas.microsoft.com/office/2011/relationships/chartColorStyle" Target="colors6.xml"/><Relationship Id="rId3" Type="http://schemas.microsoft.com/office/2011/relationships/chartStyle" Target="style6.xml"/><Relationship Id="rId2" Type="http://schemas.openxmlformats.org/officeDocument/2006/relationships/themeOverride" Target="../theme/themeOverride4.xml"/><Relationship Id="rId1" Type="http://schemas.openxmlformats.org/officeDocument/2006/relationships/package" Target="../embeddings/Workbook6.xlsx"/></Relationships>
</file>

<file path=word/charts/_rels/chart7.xml.rels><?xml version="1.0" encoding="UTF-8" standalone="yes"?>
<Relationships xmlns="http://schemas.openxmlformats.org/package/2006/relationships"><Relationship Id="rId4" Type="http://schemas.microsoft.com/office/2011/relationships/chartColorStyle" Target="colors7.xml"/><Relationship Id="rId3" Type="http://schemas.microsoft.com/office/2011/relationships/chartStyle" Target="style7.xml"/><Relationship Id="rId2" Type="http://schemas.openxmlformats.org/officeDocument/2006/relationships/themeOverride" Target="../theme/themeOverride5.xml"/><Relationship Id="rId1" Type="http://schemas.openxmlformats.org/officeDocument/2006/relationships/package" Target="../embeddings/Workbook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ru-RU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t>Количество актов гражданского состяния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0787"/>
          <c:y val="0.125666666666667"/>
          <c:w val="0.8938"/>
          <c:h val="0.79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Ряды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0.0628333333333333"/>
                </c:manualLayout>
              </c:layout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-0.063"/>
                </c:manualLayout>
              </c:layout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-0.072"/>
                </c:manualLayout>
              </c:layout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0.002625"/>
                  <c:y val="-0.0648333333333333"/>
                </c:manualLayout>
              </c:layout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"/>
                  <c:y val="-0.0666666666666667"/>
                </c:manualLayout>
              </c:layout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1174</c:v>
                </c:pt>
                <c:pt idx="1">
                  <c:v>1081</c:v>
                </c:pt>
                <c:pt idx="2">
                  <c:v>991</c:v>
                </c:pt>
                <c:pt idx="3">
                  <c:v>1053</c:v>
                </c:pt>
                <c:pt idx="4">
                  <c:v>1031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Ряды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Ряды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Sheet1!$D$2:$D$6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964484115"/>
        <c:axId val="635337235"/>
      </c:barChart>
      <c:catAx>
        <c:axId val="964484115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635337235"/>
        <c:crosses val="autoZero"/>
        <c:auto val="1"/>
        <c:lblAlgn val="ctr"/>
        <c:lblOffset val="100"/>
        <c:noMultiLvlLbl val="0"/>
      </c:catAx>
      <c:valAx>
        <c:axId val="63533723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96448411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ru-RU"/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ru-RU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charset="0"/>
                <a:cs typeface="Times New Roman" panose="02020603050405020304" charset="0"/>
              </a:rPr>
              <a:t>Государственная регистрация рождения</a:t>
            </a:r>
            <a:endParaRPr lang="ru-RU">
              <a:latin typeface="Times New Roman" panose="02020603050405020304" charset="0"/>
              <a:cs typeface="Times New Roman" panose="02020603050405020304" charset="0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551</c:v>
                </c:pt>
                <c:pt idx="1">
                  <c:v>512</c:v>
                </c:pt>
                <c:pt idx="2">
                  <c:v>493</c:v>
                </c:pt>
                <c:pt idx="3">
                  <c:v>474</c:v>
                </c:pt>
                <c:pt idx="4">
                  <c:v>474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мальчики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291</c:v>
                </c:pt>
                <c:pt idx="1">
                  <c:v>260</c:v>
                </c:pt>
                <c:pt idx="2">
                  <c:v>229</c:v>
                </c:pt>
                <c:pt idx="3">
                  <c:v>238</c:v>
                </c:pt>
                <c:pt idx="4">
                  <c:v>250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девочки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260</c:v>
                </c:pt>
                <c:pt idx="1">
                  <c:v>252</c:v>
                </c:pt>
                <c:pt idx="2">
                  <c:v>264</c:v>
                </c:pt>
                <c:pt idx="3">
                  <c:v>236</c:v>
                </c:pt>
                <c:pt idx="4">
                  <c:v>224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1971328"/>
        <c:axId val="301971888"/>
      </c:barChart>
      <c:catAx>
        <c:axId val="301971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301971888"/>
        <c:crosses val="autoZero"/>
        <c:auto val="1"/>
        <c:lblAlgn val="ctr"/>
        <c:lblOffset val="100"/>
        <c:noMultiLvlLbl val="0"/>
      </c:catAx>
      <c:valAx>
        <c:axId val="301971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301971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ru-RU"/>
      </a:pPr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ru-RU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r>
              <a:rPr lang="ru-RU">
                <a:latin typeface="Times New Roman" panose="02020603050405020304" charset="0"/>
                <a:cs typeface="Times New Roman" panose="02020603050405020304" charset="0"/>
              </a:rPr>
              <a:t>Государственная регистрация смерти</a:t>
            </a:r>
            <a:endParaRPr lang="ru-RU">
              <a:latin typeface="Times New Roman" panose="02020603050405020304" charset="0"/>
              <a:cs typeface="Times New Roman" panose="02020603050405020304" charset="0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93</c:v>
                </c:pt>
                <c:pt idx="1">
                  <c:v>110</c:v>
                </c:pt>
                <c:pt idx="2">
                  <c:v>113</c:v>
                </c:pt>
                <c:pt idx="3">
                  <c:v>116</c:v>
                </c:pt>
                <c:pt idx="4">
                  <c:v>112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мужчины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49</c:v>
                </c:pt>
                <c:pt idx="1">
                  <c:v>48</c:v>
                </c:pt>
                <c:pt idx="2">
                  <c:v>64</c:v>
                </c:pt>
                <c:pt idx="3">
                  <c:v>60</c:v>
                </c:pt>
                <c:pt idx="4">
                  <c:v>69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женщины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44</c:v>
                </c:pt>
                <c:pt idx="1">
                  <c:v>62</c:v>
                </c:pt>
                <c:pt idx="2">
                  <c:v>49</c:v>
                </c:pt>
                <c:pt idx="3">
                  <c:v>56</c:v>
                </c:pt>
                <c:pt idx="4">
                  <c:v>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1975248"/>
        <c:axId val="301975808"/>
      </c:barChart>
      <c:catAx>
        <c:axId val="301975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301975808"/>
        <c:crosses val="autoZero"/>
        <c:auto val="1"/>
        <c:lblAlgn val="ctr"/>
        <c:lblOffset val="100"/>
        <c:noMultiLvlLbl val="0"/>
      </c:catAx>
      <c:valAx>
        <c:axId val="301975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301975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ru-RU"/>
      </a:pPr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ru-RU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Государственная регистрация актов рождения</a:t>
            </a:r>
            <a:r>
              <a:rPr lang="ru-RU" baseline="0"/>
              <a:t> и </a:t>
            </a:r>
            <a:r>
              <a:rPr lang="ru-RU"/>
              <a:t>смерти</a:t>
            </a:r>
            <a:endParaRPr lang="ru-RU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551</c:v>
                </c:pt>
                <c:pt idx="1">
                  <c:v>512</c:v>
                </c:pt>
                <c:pt idx="2">
                  <c:v>493</c:v>
                </c:pt>
                <c:pt idx="3">
                  <c:v>474</c:v>
                </c:pt>
                <c:pt idx="4">
                  <c:v>474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93</c:v>
                </c:pt>
                <c:pt idx="1">
                  <c:v>110</c:v>
                </c:pt>
                <c:pt idx="2">
                  <c:v>113</c:v>
                </c:pt>
                <c:pt idx="3">
                  <c:v>116</c:v>
                </c:pt>
                <c:pt idx="4">
                  <c:v>112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1979168"/>
        <c:axId val="301979728"/>
      </c:barChart>
      <c:catAx>
        <c:axId val="301979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301979728"/>
        <c:crosses val="autoZero"/>
        <c:auto val="1"/>
        <c:lblAlgn val="ctr"/>
        <c:lblOffset val="100"/>
        <c:noMultiLvlLbl val="0"/>
      </c:catAx>
      <c:valAx>
        <c:axId val="301979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301979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ru-RU"/>
      </a:pPr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ru-RU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Естественный прирост населения по записям актов гражданского</a:t>
            </a:r>
            <a:r>
              <a:rPr lang="ru-RU" baseline="0"/>
              <a:t> состояния</a:t>
            </a:r>
            <a:endParaRPr lang="ru-RU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458</c:v>
                </c:pt>
                <c:pt idx="1">
                  <c:v>402</c:v>
                </c:pt>
                <c:pt idx="2">
                  <c:v>380</c:v>
                </c:pt>
                <c:pt idx="3">
                  <c:v>358</c:v>
                </c:pt>
                <c:pt idx="4">
                  <c:v>362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1983088"/>
        <c:axId val="301983648"/>
      </c:barChart>
      <c:catAx>
        <c:axId val="301983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301983648"/>
        <c:crosses val="autoZero"/>
        <c:auto val="1"/>
        <c:lblAlgn val="ctr"/>
        <c:lblOffset val="100"/>
        <c:noMultiLvlLbl val="0"/>
      </c:catAx>
      <c:valAx>
        <c:axId val="301983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301983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ru-RU"/>
      </a:pPr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ru-RU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Государственная регистрация заключения брака</a:t>
            </a:r>
            <a:endParaRPr lang="ru-RU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290</c:v>
                </c:pt>
                <c:pt idx="1">
                  <c:v>255</c:v>
                </c:pt>
                <c:pt idx="2">
                  <c:v>164</c:v>
                </c:pt>
                <c:pt idx="3">
                  <c:v>222</c:v>
                </c:pt>
                <c:pt idx="4">
                  <c:v>212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1987008"/>
        <c:axId val="301987568"/>
      </c:barChart>
      <c:catAx>
        <c:axId val="301987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301987568"/>
        <c:crosses val="autoZero"/>
        <c:auto val="1"/>
        <c:lblAlgn val="ctr"/>
        <c:lblOffset val="100"/>
        <c:noMultiLvlLbl val="0"/>
      </c:catAx>
      <c:valAx>
        <c:axId val="301987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301987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ru-RU"/>
      </a:pPr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ru-RU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r>
              <a:rPr lang="ru-RU">
                <a:latin typeface="Times New Roman" panose="02020603050405020304" charset="0"/>
                <a:cs typeface="Times New Roman" panose="02020603050405020304" charset="0"/>
              </a:rPr>
              <a:t>Государственная регистрация расторжения брака</a:t>
            </a:r>
            <a:endParaRPr lang="ru-RU">
              <a:latin typeface="Times New Roman" panose="02020603050405020304" charset="0"/>
              <a:cs typeface="Times New Roman" panose="02020603050405020304" charset="0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181</c:v>
                </c:pt>
                <c:pt idx="1">
                  <c:v>166</c:v>
                </c:pt>
                <c:pt idx="2">
                  <c:v>179</c:v>
                </c:pt>
                <c:pt idx="3">
                  <c:v>198</c:v>
                </c:pt>
                <c:pt idx="4">
                  <c:v>186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решение суда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47</c:v>
                </c:pt>
                <c:pt idx="1">
                  <c:v>122</c:v>
                </c:pt>
                <c:pt idx="2">
                  <c:v>126</c:v>
                </c:pt>
                <c:pt idx="3">
                  <c:v>144</c:v>
                </c:pt>
                <c:pt idx="4">
                  <c:v>147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взаимное согласие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44</c:v>
                </c:pt>
                <c:pt idx="1">
                  <c:v>44</c:v>
                </c:pt>
                <c:pt idx="2">
                  <c:v>53</c:v>
                </c:pt>
                <c:pt idx="3">
                  <c:v>52</c:v>
                </c:pt>
                <c:pt idx="4">
                  <c:v>39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приговор суда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01991488"/>
        <c:axId val="301992048"/>
      </c:barChart>
      <c:catAx>
        <c:axId val="301991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301992048"/>
        <c:crosses val="autoZero"/>
        <c:auto val="1"/>
        <c:lblAlgn val="ctr"/>
        <c:lblOffset val="100"/>
        <c:noMultiLvlLbl val="0"/>
      </c:catAx>
      <c:valAx>
        <c:axId val="301992048"/>
        <c:scaling>
          <c:orientation val="minMax"/>
          <c:max val="2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301991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ru-RU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1695</Words>
  <Characters>9667</Characters>
  <Lines>80</Lines>
  <Paragraphs>22</Paragraphs>
  <TotalTime>2</TotalTime>
  <ScaleCrop>false</ScaleCrop>
  <LinksUpToDate>false</LinksUpToDate>
  <CharactersWithSpaces>11340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2023-01-20T04:41:00Z</dcterms:created>
  <dc:creator>Titova</dc:creator>
  <cp:lastModifiedBy>_Elena</cp:lastModifiedBy>
  <dcterms:modified xsi:type="dcterms:W3CDTF">2023-01-26T11:24:07Z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004A4ECBEC444BA5B827A8614134CC99</vt:lpwstr>
  </property>
</Properties>
</file>