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CFE" w:rsidRDefault="00E92CFE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E92CFE" w:rsidRDefault="00E92CFE">
      <w:pPr>
        <w:pStyle w:val="ConsPlusNormal"/>
        <w:jc w:val="both"/>
        <w:outlineLvl w:val="0"/>
      </w:pPr>
    </w:p>
    <w:p w:rsidR="00E92CFE" w:rsidRDefault="00E92CFE">
      <w:pPr>
        <w:pStyle w:val="ConsPlusTitle"/>
        <w:jc w:val="center"/>
        <w:outlineLvl w:val="0"/>
      </w:pPr>
      <w:r>
        <w:t>РЕГИОНАЛЬНАЯ ЭНЕРГЕТИЧЕСКАЯ КОМИССИЯ ТЮМЕНСКОЙ ОБЛАСТИ,</w:t>
      </w:r>
    </w:p>
    <w:p w:rsidR="00E92CFE" w:rsidRDefault="00E92CFE">
      <w:pPr>
        <w:pStyle w:val="ConsPlusTitle"/>
        <w:jc w:val="center"/>
      </w:pPr>
      <w:r>
        <w:t>ХАНТЫ-МАНСИЙСКОГО АВТОНОМНОГО ОКРУГА - ЮГРЫ,</w:t>
      </w:r>
    </w:p>
    <w:p w:rsidR="00E92CFE" w:rsidRDefault="00E92CFE">
      <w:pPr>
        <w:pStyle w:val="ConsPlusTitle"/>
        <w:jc w:val="center"/>
      </w:pPr>
      <w:r>
        <w:t>ЯМАЛО-НЕНЕЦКОГО АВТОНОМНОГО ОКРУГА</w:t>
      </w:r>
    </w:p>
    <w:p w:rsidR="00E92CFE" w:rsidRDefault="00E92CFE">
      <w:pPr>
        <w:pStyle w:val="ConsPlusTitle"/>
        <w:jc w:val="center"/>
      </w:pPr>
    </w:p>
    <w:p w:rsidR="00E92CFE" w:rsidRDefault="00E92CFE">
      <w:pPr>
        <w:pStyle w:val="ConsPlusTitle"/>
        <w:jc w:val="center"/>
      </w:pPr>
      <w:r>
        <w:t>РАСПОРЯЖЕНИЕ</w:t>
      </w:r>
    </w:p>
    <w:p w:rsidR="00E92CFE" w:rsidRDefault="00E92CFE">
      <w:pPr>
        <w:pStyle w:val="ConsPlusTitle"/>
        <w:jc w:val="center"/>
      </w:pPr>
      <w:r>
        <w:t>от 7 декабря 2020 г. N 25</w:t>
      </w:r>
    </w:p>
    <w:p w:rsidR="00E92CFE" w:rsidRDefault="00E92CFE">
      <w:pPr>
        <w:pStyle w:val="ConsPlusTitle"/>
        <w:jc w:val="center"/>
      </w:pPr>
    </w:p>
    <w:p w:rsidR="00E92CFE" w:rsidRDefault="00E92CFE">
      <w:pPr>
        <w:pStyle w:val="ConsPlusTitle"/>
        <w:jc w:val="center"/>
      </w:pPr>
      <w:r>
        <w:t>ОБ УСТАНОВЛЕНИИ ЦЕН (ТАРИФОВ) НА ЭЛЕКТРИЧЕСКУЮ ЭНЕРГИЮ</w:t>
      </w:r>
    </w:p>
    <w:p w:rsidR="00E92CFE" w:rsidRDefault="00E92CFE">
      <w:pPr>
        <w:pStyle w:val="ConsPlusTitle"/>
        <w:jc w:val="center"/>
      </w:pPr>
      <w:r>
        <w:t>ДЛЯ НАСЕЛЕНИЯ И ПРИРАВНЕННЫХ К НЕМУ КАТЕГОРИЙ ПОТРЕБИТЕЛЕЙ</w:t>
      </w:r>
    </w:p>
    <w:p w:rsidR="00E92CFE" w:rsidRDefault="00E92CFE">
      <w:pPr>
        <w:pStyle w:val="ConsPlusTitle"/>
        <w:jc w:val="center"/>
      </w:pPr>
      <w:r>
        <w:t>ПО ТЮМЕНСКОЙ ОБЛАСТИ, ХАНТЫ-МАНСИЙСКОМУ АВТОНОМНОМУ</w:t>
      </w:r>
    </w:p>
    <w:p w:rsidR="00E92CFE" w:rsidRDefault="00E92CFE">
      <w:pPr>
        <w:pStyle w:val="ConsPlusTitle"/>
        <w:jc w:val="center"/>
      </w:pPr>
      <w:r>
        <w:t>ОКРУГУ - ЮГРЕ И ЯМАЛО-НЕНЕЦКОМУ АВТОНОМНОМУ ОКРУГУ</w:t>
      </w:r>
    </w:p>
    <w:p w:rsidR="00E92CFE" w:rsidRDefault="00E92CFE">
      <w:pPr>
        <w:pStyle w:val="ConsPlusTitle"/>
        <w:jc w:val="center"/>
      </w:pPr>
      <w:r>
        <w:t>НА 2021 ГОД</w:t>
      </w:r>
    </w:p>
    <w:p w:rsidR="00E92CFE" w:rsidRDefault="00E92CFE">
      <w:pPr>
        <w:pStyle w:val="ConsPlusNormal"/>
        <w:jc w:val="both"/>
      </w:pPr>
    </w:p>
    <w:p w:rsidR="00E92CFE" w:rsidRDefault="00E92CFE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26.03.2003 N 35-ФЗ "Об электроэнергетике", </w:t>
      </w:r>
      <w:hyperlink r:id="rId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29.12.2011 N 1178 "О ценообразовании в области регулируемых цен (тарифов) в электроэнергетике", </w:t>
      </w:r>
      <w:hyperlink r:id="rId7" w:history="1">
        <w:r>
          <w:rPr>
            <w:color w:val="0000FF"/>
          </w:rPr>
          <w:t>Индексами</w:t>
        </w:r>
      </w:hyperlink>
      <w:r>
        <w:t xml:space="preserve"> изменения размера вносимой гражданами платы за коммунальные услуги в среднем по субъектам Российской Федерации, за исключением республики Крым и г. Севастополя, на 2021 год, утвержденными распоряжением Правительства Российской Федерации от 30.10.2020 N 2827-р, </w:t>
      </w:r>
      <w:hyperlink r:id="rId8" w:history="1">
        <w:r>
          <w:rPr>
            <w:color w:val="0000FF"/>
          </w:rPr>
          <w:t>Приказом</w:t>
        </w:r>
      </w:hyperlink>
      <w:r>
        <w:t xml:space="preserve"> ФАС России "О предельных минимальных и максимальных уровнях тарифов на электрическую энергию (мощность), поставляемую населению и приравненным к нему категориям потребителей, по субъектам Российской Федерации на 2021 год" от 09.10.2020 N 983/20:</w:t>
      </w:r>
    </w:p>
    <w:p w:rsidR="00E92CFE" w:rsidRDefault="00E92CFE">
      <w:pPr>
        <w:pStyle w:val="ConsPlusNormal"/>
        <w:spacing w:before="220"/>
        <w:ind w:firstLine="540"/>
        <w:jc w:val="both"/>
      </w:pPr>
      <w:r>
        <w:t xml:space="preserve">Установить с 1 января 2021 года по 31 декабря 2021 года </w:t>
      </w:r>
      <w:hyperlink w:anchor="P28" w:history="1">
        <w:r>
          <w:rPr>
            <w:color w:val="0000FF"/>
          </w:rPr>
          <w:t>цены</w:t>
        </w:r>
      </w:hyperlink>
      <w:r>
        <w:t xml:space="preserve"> (тарифы) на электрическую энергию для населения и приравненных к нему категорий потребителей по Тюменской области, Ханты-Мансийскому автономному округу - Югре и Ямало-Ненецкому автономному округу, согласно приложению.</w:t>
      </w:r>
    </w:p>
    <w:p w:rsidR="00E92CFE" w:rsidRDefault="00E92CFE">
      <w:pPr>
        <w:pStyle w:val="ConsPlusNormal"/>
        <w:jc w:val="both"/>
      </w:pPr>
    </w:p>
    <w:p w:rsidR="00E92CFE" w:rsidRDefault="00E92CFE">
      <w:pPr>
        <w:pStyle w:val="ConsPlusNormal"/>
        <w:jc w:val="right"/>
      </w:pPr>
      <w:r>
        <w:t>Заместитель председателя</w:t>
      </w:r>
    </w:p>
    <w:p w:rsidR="00E92CFE" w:rsidRDefault="00E92CFE">
      <w:pPr>
        <w:pStyle w:val="ConsPlusNormal"/>
        <w:jc w:val="right"/>
      </w:pPr>
      <w:r>
        <w:t>А.В.ЛИТВЯКОВ</w:t>
      </w:r>
    </w:p>
    <w:p w:rsidR="00E92CFE" w:rsidRDefault="00E92CFE">
      <w:pPr>
        <w:pStyle w:val="ConsPlusNormal"/>
        <w:jc w:val="both"/>
      </w:pPr>
    </w:p>
    <w:p w:rsidR="00E92CFE" w:rsidRDefault="00E92CFE">
      <w:pPr>
        <w:pStyle w:val="ConsPlusNormal"/>
        <w:jc w:val="both"/>
      </w:pPr>
    </w:p>
    <w:p w:rsidR="00E92CFE" w:rsidRDefault="00E92CFE">
      <w:pPr>
        <w:pStyle w:val="ConsPlusNormal"/>
        <w:jc w:val="both"/>
      </w:pPr>
    </w:p>
    <w:p w:rsidR="00E92CFE" w:rsidRDefault="00E92CFE">
      <w:pPr>
        <w:pStyle w:val="ConsPlusNormal"/>
        <w:jc w:val="both"/>
      </w:pPr>
    </w:p>
    <w:p w:rsidR="00E92CFE" w:rsidRDefault="00E92CFE">
      <w:pPr>
        <w:pStyle w:val="ConsPlusNormal"/>
        <w:jc w:val="both"/>
      </w:pPr>
    </w:p>
    <w:p w:rsidR="00E92CFE" w:rsidRDefault="00E92CFE">
      <w:pPr>
        <w:pStyle w:val="ConsPlusNormal"/>
        <w:jc w:val="right"/>
        <w:outlineLvl w:val="0"/>
      </w:pPr>
      <w:r>
        <w:t>Приложение</w:t>
      </w:r>
    </w:p>
    <w:p w:rsidR="00E92CFE" w:rsidRDefault="00E92CFE">
      <w:pPr>
        <w:pStyle w:val="ConsPlusNormal"/>
        <w:jc w:val="right"/>
      </w:pPr>
      <w:r>
        <w:t>к распоряжению</w:t>
      </w:r>
    </w:p>
    <w:p w:rsidR="00E92CFE" w:rsidRDefault="00E92CFE">
      <w:pPr>
        <w:pStyle w:val="ConsPlusNormal"/>
        <w:jc w:val="right"/>
      </w:pPr>
      <w:r>
        <w:t>от 07.12.2020 N 25</w:t>
      </w:r>
    </w:p>
    <w:p w:rsidR="00E92CFE" w:rsidRDefault="00E92CFE">
      <w:pPr>
        <w:pStyle w:val="ConsPlusNormal"/>
        <w:jc w:val="both"/>
      </w:pPr>
    </w:p>
    <w:p w:rsidR="00E92CFE" w:rsidRDefault="00E92CFE">
      <w:pPr>
        <w:pStyle w:val="ConsPlusTitle"/>
        <w:jc w:val="center"/>
      </w:pPr>
      <w:bookmarkStart w:id="0" w:name="P28"/>
      <w:bookmarkEnd w:id="0"/>
      <w:r>
        <w:t>ЦЕНЫ (ТАРИФЫ)</w:t>
      </w:r>
    </w:p>
    <w:p w:rsidR="00E92CFE" w:rsidRDefault="00E92CFE">
      <w:pPr>
        <w:pStyle w:val="ConsPlusTitle"/>
        <w:jc w:val="center"/>
      </w:pPr>
      <w:r>
        <w:t>НА ЭЛЕКТРИЧЕСКУЮ ЭНЕРГИЮ ДЛЯ НАСЕЛЕНИЯ И ПРИРАВНЕННЫХ К НЕМУ</w:t>
      </w:r>
    </w:p>
    <w:p w:rsidR="00E92CFE" w:rsidRDefault="00E92CFE">
      <w:pPr>
        <w:pStyle w:val="ConsPlusTitle"/>
        <w:jc w:val="center"/>
      </w:pPr>
      <w:r>
        <w:t>КАТЕГОРИЙ ПОТРЕБИТЕЛЕЙ ПО ТЮМЕНСКОЙ ОБЛАСТИ,</w:t>
      </w:r>
    </w:p>
    <w:p w:rsidR="00E92CFE" w:rsidRDefault="00E92CFE">
      <w:pPr>
        <w:pStyle w:val="ConsPlusTitle"/>
        <w:jc w:val="center"/>
      </w:pPr>
      <w:r>
        <w:t>ХАНТЫ-МАНСИЙСКОМУ АВТОНОМНОМУ ОКРУГУ - ЮГРЕ</w:t>
      </w:r>
    </w:p>
    <w:p w:rsidR="00E92CFE" w:rsidRDefault="00E92CFE">
      <w:pPr>
        <w:pStyle w:val="ConsPlusTitle"/>
        <w:jc w:val="center"/>
      </w:pPr>
      <w:r>
        <w:t>И ЯМАЛО-НЕНЕЦКОМУ АВТОНОМНОМУ ОКРУГУ НА 2021 ГОД</w:t>
      </w:r>
    </w:p>
    <w:p w:rsidR="00E92CFE" w:rsidRDefault="00E92CF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969"/>
        <w:gridCol w:w="1276"/>
        <w:gridCol w:w="1587"/>
        <w:gridCol w:w="1587"/>
      </w:tblGrid>
      <w:tr w:rsidR="00E92CFE">
        <w:tc>
          <w:tcPr>
            <w:tcW w:w="624" w:type="dxa"/>
            <w:vMerge w:val="restart"/>
          </w:tcPr>
          <w:p w:rsidR="00E92CFE" w:rsidRDefault="00E92CF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969" w:type="dxa"/>
            <w:vMerge w:val="restart"/>
          </w:tcPr>
          <w:p w:rsidR="00E92CFE" w:rsidRDefault="00E92CFE">
            <w:pPr>
              <w:pStyle w:val="ConsPlusNormal"/>
              <w:jc w:val="center"/>
            </w:pPr>
            <w:r>
              <w:t>Показатель (группы потребителей с разбивкой по ставкам и дифференциацией по зонам суток)</w:t>
            </w:r>
          </w:p>
        </w:tc>
        <w:tc>
          <w:tcPr>
            <w:tcW w:w="1276" w:type="dxa"/>
            <w:vMerge w:val="restart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587" w:type="dxa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I полугодие</w:t>
            </w:r>
          </w:p>
        </w:tc>
        <w:tc>
          <w:tcPr>
            <w:tcW w:w="1587" w:type="dxa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II полугодие</w:t>
            </w:r>
          </w:p>
        </w:tc>
      </w:tr>
      <w:tr w:rsidR="00E92CFE">
        <w:tc>
          <w:tcPr>
            <w:tcW w:w="624" w:type="dxa"/>
            <w:vMerge/>
          </w:tcPr>
          <w:p w:rsidR="00E92CFE" w:rsidRDefault="00E92CFE"/>
        </w:tc>
        <w:tc>
          <w:tcPr>
            <w:tcW w:w="3969" w:type="dxa"/>
            <w:vMerge/>
          </w:tcPr>
          <w:p w:rsidR="00E92CFE" w:rsidRDefault="00E92CFE"/>
        </w:tc>
        <w:tc>
          <w:tcPr>
            <w:tcW w:w="1276" w:type="dxa"/>
            <w:vMerge/>
          </w:tcPr>
          <w:p w:rsidR="00E92CFE" w:rsidRDefault="00E92CFE"/>
        </w:tc>
        <w:tc>
          <w:tcPr>
            <w:tcW w:w="1587" w:type="dxa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Цена (тариф)</w:t>
            </w:r>
          </w:p>
        </w:tc>
        <w:tc>
          <w:tcPr>
            <w:tcW w:w="1587" w:type="dxa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Цена (тариф)</w:t>
            </w:r>
          </w:p>
        </w:tc>
      </w:tr>
      <w:tr w:rsidR="00E92CFE">
        <w:tc>
          <w:tcPr>
            <w:tcW w:w="624" w:type="dxa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69" w:type="dxa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7" w:type="dxa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7" w:type="dxa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5</w:t>
            </w:r>
          </w:p>
        </w:tc>
      </w:tr>
      <w:tr w:rsidR="00E92CFE">
        <w:tc>
          <w:tcPr>
            <w:tcW w:w="624" w:type="dxa"/>
          </w:tcPr>
          <w:p w:rsidR="00E92CFE" w:rsidRDefault="00E92CFE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8419" w:type="dxa"/>
            <w:gridSpan w:val="4"/>
          </w:tcPr>
          <w:p w:rsidR="00E92CFE" w:rsidRDefault="00E92CFE">
            <w:pPr>
              <w:pStyle w:val="ConsPlusNormal"/>
              <w:jc w:val="both"/>
            </w:pPr>
            <w:r>
              <w:t xml:space="preserve">Население и приравненные к ним, за исключением населения и потребителей, указанных в </w:t>
            </w:r>
            <w:hyperlink w:anchor="P80" w:history="1">
              <w:r>
                <w:rPr>
                  <w:color w:val="0000FF"/>
                </w:rPr>
                <w:t>пунктах 2</w:t>
              </w:r>
            </w:hyperlink>
            <w:r>
              <w:t xml:space="preserve"> и </w:t>
            </w:r>
            <w:hyperlink w:anchor="P114" w:history="1">
              <w:r>
                <w:rPr>
                  <w:color w:val="0000FF"/>
                </w:rPr>
                <w:t>3</w:t>
              </w:r>
            </w:hyperlink>
            <w:r>
              <w:t xml:space="preserve"> (тарифы указываются с учетом НДС):</w:t>
            </w:r>
          </w:p>
          <w:p w:rsidR="00E92CFE" w:rsidRDefault="00E92CFE">
            <w:pPr>
              <w:pStyle w:val="ConsPlusNormal"/>
              <w:jc w:val="both"/>
            </w:pPr>
            <w:r>
              <w:t>- 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E92CFE" w:rsidRDefault="00E92CFE">
            <w:pPr>
              <w:pStyle w:val="ConsPlusNormal"/>
            </w:pPr>
            <w:r>
              <w:t>- 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  <w:p w:rsidR="00E92CFE" w:rsidRDefault="00E92CFE">
            <w:pPr>
              <w:pStyle w:val="ConsPlusNormal"/>
              <w:jc w:val="both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данном пункте </w:t>
            </w:r>
            <w:hyperlink w:anchor="P285" w:history="1">
              <w:r>
                <w:rPr>
                  <w:color w:val="0000FF"/>
                </w:rPr>
                <w:t>&lt;4&gt;</w:t>
              </w:r>
            </w:hyperlink>
          </w:p>
        </w:tc>
      </w:tr>
      <w:tr w:rsidR="00E92CFE">
        <w:tc>
          <w:tcPr>
            <w:tcW w:w="624" w:type="dxa"/>
          </w:tcPr>
          <w:p w:rsidR="00E92CFE" w:rsidRDefault="00E92CFE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3969" w:type="dxa"/>
          </w:tcPr>
          <w:p w:rsidR="00E92CFE" w:rsidRDefault="00E92CFE">
            <w:pPr>
              <w:pStyle w:val="ConsPlusNormal"/>
            </w:pPr>
            <w:r>
              <w:t>Одноставочный тариф</w:t>
            </w:r>
          </w:p>
        </w:tc>
        <w:tc>
          <w:tcPr>
            <w:tcW w:w="1276" w:type="dxa"/>
          </w:tcPr>
          <w:p w:rsidR="00E92CFE" w:rsidRDefault="00E92CFE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2,97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3,07</w:t>
            </w:r>
          </w:p>
        </w:tc>
      </w:tr>
      <w:tr w:rsidR="00E92CFE">
        <w:tc>
          <w:tcPr>
            <w:tcW w:w="624" w:type="dxa"/>
            <w:vMerge w:val="restart"/>
          </w:tcPr>
          <w:p w:rsidR="00E92CFE" w:rsidRDefault="00E92CFE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8419" w:type="dxa"/>
            <w:gridSpan w:val="4"/>
          </w:tcPr>
          <w:p w:rsidR="00E92CFE" w:rsidRDefault="00E92CFE">
            <w:pPr>
              <w:pStyle w:val="ConsPlusNormal"/>
            </w:pPr>
            <w:r>
              <w:t xml:space="preserve">Одноставочный тариф, дифференцированный по двум зонам суток </w:t>
            </w:r>
            <w:hyperlink w:anchor="P282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E92CFE">
        <w:tc>
          <w:tcPr>
            <w:tcW w:w="624" w:type="dxa"/>
            <w:vMerge/>
          </w:tcPr>
          <w:p w:rsidR="00E92CFE" w:rsidRDefault="00E92CFE"/>
        </w:tc>
        <w:tc>
          <w:tcPr>
            <w:tcW w:w="3969" w:type="dxa"/>
          </w:tcPr>
          <w:p w:rsidR="00E92CFE" w:rsidRDefault="00E92CFE">
            <w:pPr>
              <w:pStyle w:val="ConsPlusNormal"/>
            </w:pPr>
            <w:r>
              <w:t>Дневная зона (пиковая и полупиковая)</w:t>
            </w:r>
          </w:p>
        </w:tc>
        <w:tc>
          <w:tcPr>
            <w:tcW w:w="1276" w:type="dxa"/>
          </w:tcPr>
          <w:p w:rsidR="00E92CFE" w:rsidRDefault="00E92CFE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3,02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3,12</w:t>
            </w:r>
          </w:p>
        </w:tc>
      </w:tr>
      <w:tr w:rsidR="00E92CFE">
        <w:tc>
          <w:tcPr>
            <w:tcW w:w="624" w:type="dxa"/>
            <w:vMerge/>
          </w:tcPr>
          <w:p w:rsidR="00E92CFE" w:rsidRDefault="00E92CFE"/>
        </w:tc>
        <w:tc>
          <w:tcPr>
            <w:tcW w:w="3969" w:type="dxa"/>
          </w:tcPr>
          <w:p w:rsidR="00E92CFE" w:rsidRDefault="00E92CFE">
            <w:pPr>
              <w:pStyle w:val="ConsPlusNormal"/>
            </w:pPr>
            <w:r>
              <w:t>Ночная зона</w:t>
            </w:r>
          </w:p>
        </w:tc>
        <w:tc>
          <w:tcPr>
            <w:tcW w:w="1276" w:type="dxa"/>
          </w:tcPr>
          <w:p w:rsidR="00E92CFE" w:rsidRDefault="00E92CFE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1,49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1,54</w:t>
            </w:r>
          </w:p>
        </w:tc>
      </w:tr>
      <w:tr w:rsidR="00E92CFE">
        <w:tc>
          <w:tcPr>
            <w:tcW w:w="624" w:type="dxa"/>
            <w:vMerge w:val="restart"/>
          </w:tcPr>
          <w:p w:rsidR="00E92CFE" w:rsidRDefault="00E92CFE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8419" w:type="dxa"/>
            <w:gridSpan w:val="4"/>
          </w:tcPr>
          <w:p w:rsidR="00E92CFE" w:rsidRDefault="00E92CFE">
            <w:pPr>
              <w:pStyle w:val="ConsPlusNormal"/>
            </w:pPr>
            <w:r>
              <w:t xml:space="preserve">Одноставочный тариф, дифференцированный по трем зонам суток </w:t>
            </w:r>
            <w:hyperlink w:anchor="P282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E92CFE">
        <w:tc>
          <w:tcPr>
            <w:tcW w:w="624" w:type="dxa"/>
            <w:vMerge/>
          </w:tcPr>
          <w:p w:rsidR="00E92CFE" w:rsidRDefault="00E92CFE"/>
        </w:tc>
        <w:tc>
          <w:tcPr>
            <w:tcW w:w="3969" w:type="dxa"/>
          </w:tcPr>
          <w:p w:rsidR="00E92CFE" w:rsidRDefault="00E92CFE">
            <w:pPr>
              <w:pStyle w:val="ConsPlusNormal"/>
            </w:pPr>
            <w:r>
              <w:t>Пиковая зона</w:t>
            </w:r>
          </w:p>
        </w:tc>
        <w:tc>
          <w:tcPr>
            <w:tcW w:w="1276" w:type="dxa"/>
          </w:tcPr>
          <w:p w:rsidR="00E92CFE" w:rsidRDefault="00E92CFE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3,04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3,14</w:t>
            </w:r>
          </w:p>
        </w:tc>
      </w:tr>
      <w:tr w:rsidR="00E92CFE">
        <w:tc>
          <w:tcPr>
            <w:tcW w:w="624" w:type="dxa"/>
            <w:vMerge/>
          </w:tcPr>
          <w:p w:rsidR="00E92CFE" w:rsidRDefault="00E92CFE"/>
        </w:tc>
        <w:tc>
          <w:tcPr>
            <w:tcW w:w="3969" w:type="dxa"/>
          </w:tcPr>
          <w:p w:rsidR="00E92CFE" w:rsidRDefault="00E92CFE">
            <w:pPr>
              <w:pStyle w:val="ConsPlusNormal"/>
            </w:pPr>
            <w:r>
              <w:t>Полупиковая зона</w:t>
            </w:r>
          </w:p>
        </w:tc>
        <w:tc>
          <w:tcPr>
            <w:tcW w:w="1276" w:type="dxa"/>
          </w:tcPr>
          <w:p w:rsidR="00E92CFE" w:rsidRDefault="00E92CFE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2,97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3,07</w:t>
            </w:r>
          </w:p>
        </w:tc>
      </w:tr>
      <w:tr w:rsidR="00E92CFE">
        <w:tc>
          <w:tcPr>
            <w:tcW w:w="624" w:type="dxa"/>
            <w:vMerge/>
          </w:tcPr>
          <w:p w:rsidR="00E92CFE" w:rsidRDefault="00E92CFE"/>
        </w:tc>
        <w:tc>
          <w:tcPr>
            <w:tcW w:w="3969" w:type="dxa"/>
          </w:tcPr>
          <w:p w:rsidR="00E92CFE" w:rsidRDefault="00E92CFE">
            <w:pPr>
              <w:pStyle w:val="ConsPlusNormal"/>
            </w:pPr>
            <w:r>
              <w:t>Ночная зона</w:t>
            </w:r>
          </w:p>
        </w:tc>
        <w:tc>
          <w:tcPr>
            <w:tcW w:w="1276" w:type="dxa"/>
          </w:tcPr>
          <w:p w:rsidR="00E92CFE" w:rsidRDefault="00E92CFE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1,49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1,54</w:t>
            </w:r>
          </w:p>
        </w:tc>
      </w:tr>
      <w:tr w:rsidR="00E92CFE">
        <w:tc>
          <w:tcPr>
            <w:tcW w:w="624" w:type="dxa"/>
          </w:tcPr>
          <w:p w:rsidR="00E92CFE" w:rsidRDefault="00E92CFE">
            <w:pPr>
              <w:pStyle w:val="ConsPlusNormal"/>
              <w:jc w:val="center"/>
            </w:pPr>
            <w:bookmarkStart w:id="1" w:name="P80"/>
            <w:bookmarkEnd w:id="1"/>
            <w:r>
              <w:t>2.</w:t>
            </w:r>
          </w:p>
        </w:tc>
        <w:tc>
          <w:tcPr>
            <w:tcW w:w="8419" w:type="dxa"/>
            <w:gridSpan w:val="4"/>
          </w:tcPr>
          <w:p w:rsidR="00E92CFE" w:rsidRDefault="00E92CFE">
            <w:pPr>
              <w:pStyle w:val="ConsPlusNormal"/>
              <w:jc w:val="both"/>
            </w:pPr>
            <w:r>
              <w:t xml:space="preserve">Население, проживающее в городских населенных пунктах в домах, оборудованных в установленном порядке стационарными электроплитами и (или) электроотопительными установками </w:t>
            </w:r>
            <w:hyperlink w:anchor="P283" w:history="1">
              <w:r>
                <w:rPr>
                  <w:color w:val="0000FF"/>
                </w:rPr>
                <w:t>&lt;2&gt;</w:t>
              </w:r>
            </w:hyperlink>
            <w:r>
              <w:t xml:space="preserve"> и приравненные к ним (тарифы указываются с учетом НДС):</w:t>
            </w:r>
          </w:p>
          <w:p w:rsidR="00E92CFE" w:rsidRDefault="00E92CFE">
            <w:pPr>
              <w:pStyle w:val="ConsPlusNormal"/>
              <w:jc w:val="both"/>
            </w:pPr>
            <w:r>
              <w:t xml:space="preserve">- 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</w:t>
            </w:r>
            <w:r>
              <w:lastRenderedPageBreak/>
              <w:t>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E92CFE" w:rsidRDefault="00E92CFE">
            <w:pPr>
              <w:pStyle w:val="ConsPlusNormal"/>
              <w:jc w:val="both"/>
            </w:pPr>
            <w:r>
              <w:t>- 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  <w:p w:rsidR="00E92CFE" w:rsidRDefault="00E92CFE">
            <w:pPr>
              <w:pStyle w:val="ConsPlusNormal"/>
              <w:jc w:val="both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данном пункте </w:t>
            </w:r>
            <w:hyperlink w:anchor="P285" w:history="1">
              <w:r>
                <w:rPr>
                  <w:color w:val="0000FF"/>
                </w:rPr>
                <w:t>&lt;4&gt;</w:t>
              </w:r>
            </w:hyperlink>
          </w:p>
        </w:tc>
      </w:tr>
      <w:tr w:rsidR="00E92CFE">
        <w:tc>
          <w:tcPr>
            <w:tcW w:w="624" w:type="dxa"/>
          </w:tcPr>
          <w:p w:rsidR="00E92CFE" w:rsidRDefault="00E92CFE">
            <w:pPr>
              <w:pStyle w:val="ConsPlusNormal"/>
              <w:jc w:val="center"/>
            </w:pPr>
            <w:r>
              <w:lastRenderedPageBreak/>
              <w:t>2.1</w:t>
            </w:r>
          </w:p>
        </w:tc>
        <w:tc>
          <w:tcPr>
            <w:tcW w:w="3969" w:type="dxa"/>
          </w:tcPr>
          <w:p w:rsidR="00E92CFE" w:rsidRDefault="00E92CFE">
            <w:pPr>
              <w:pStyle w:val="ConsPlusNormal"/>
            </w:pPr>
            <w:r>
              <w:t>Одноставочный тариф</w:t>
            </w:r>
          </w:p>
        </w:tc>
        <w:tc>
          <w:tcPr>
            <w:tcW w:w="1276" w:type="dxa"/>
          </w:tcPr>
          <w:p w:rsidR="00E92CFE" w:rsidRDefault="00E92CFE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2,09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2,16</w:t>
            </w:r>
          </w:p>
        </w:tc>
      </w:tr>
      <w:tr w:rsidR="00E92CFE">
        <w:tc>
          <w:tcPr>
            <w:tcW w:w="624" w:type="dxa"/>
            <w:vMerge w:val="restart"/>
          </w:tcPr>
          <w:p w:rsidR="00E92CFE" w:rsidRDefault="00E92CFE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8419" w:type="dxa"/>
            <w:gridSpan w:val="4"/>
          </w:tcPr>
          <w:p w:rsidR="00E92CFE" w:rsidRDefault="00E92CFE">
            <w:pPr>
              <w:pStyle w:val="ConsPlusNormal"/>
            </w:pPr>
            <w:r>
              <w:t xml:space="preserve">Одноставочный тариф, дифференцированный по двум зонам суток </w:t>
            </w:r>
            <w:hyperlink w:anchor="P282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E92CFE">
        <w:tc>
          <w:tcPr>
            <w:tcW w:w="624" w:type="dxa"/>
            <w:vMerge/>
          </w:tcPr>
          <w:p w:rsidR="00E92CFE" w:rsidRDefault="00E92CFE"/>
        </w:tc>
        <w:tc>
          <w:tcPr>
            <w:tcW w:w="3969" w:type="dxa"/>
          </w:tcPr>
          <w:p w:rsidR="00E92CFE" w:rsidRDefault="00E92CFE">
            <w:pPr>
              <w:pStyle w:val="ConsPlusNormal"/>
            </w:pPr>
            <w:r>
              <w:t>Дневная зона (пиковая и полупиковая)</w:t>
            </w:r>
          </w:p>
        </w:tc>
        <w:tc>
          <w:tcPr>
            <w:tcW w:w="1276" w:type="dxa"/>
          </w:tcPr>
          <w:p w:rsidR="00E92CFE" w:rsidRDefault="00E92CFE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2,11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2,18</w:t>
            </w:r>
          </w:p>
        </w:tc>
      </w:tr>
      <w:tr w:rsidR="00E92CFE">
        <w:tc>
          <w:tcPr>
            <w:tcW w:w="624" w:type="dxa"/>
            <w:vMerge/>
          </w:tcPr>
          <w:p w:rsidR="00E92CFE" w:rsidRDefault="00E92CFE"/>
        </w:tc>
        <w:tc>
          <w:tcPr>
            <w:tcW w:w="3969" w:type="dxa"/>
          </w:tcPr>
          <w:p w:rsidR="00E92CFE" w:rsidRDefault="00E92CFE">
            <w:pPr>
              <w:pStyle w:val="ConsPlusNormal"/>
            </w:pPr>
            <w:r>
              <w:t>Ночная зона</w:t>
            </w:r>
          </w:p>
        </w:tc>
        <w:tc>
          <w:tcPr>
            <w:tcW w:w="1276" w:type="dxa"/>
          </w:tcPr>
          <w:p w:rsidR="00E92CFE" w:rsidRDefault="00E92CFE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1,04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1,07</w:t>
            </w:r>
          </w:p>
        </w:tc>
      </w:tr>
      <w:tr w:rsidR="00E92CFE">
        <w:tc>
          <w:tcPr>
            <w:tcW w:w="624" w:type="dxa"/>
            <w:vMerge w:val="restart"/>
          </w:tcPr>
          <w:p w:rsidR="00E92CFE" w:rsidRDefault="00E92CFE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8419" w:type="dxa"/>
            <w:gridSpan w:val="4"/>
          </w:tcPr>
          <w:p w:rsidR="00E92CFE" w:rsidRDefault="00E92CFE">
            <w:pPr>
              <w:pStyle w:val="ConsPlusNormal"/>
            </w:pPr>
            <w:r>
              <w:t xml:space="preserve">Одноставочный тариф, дифференцированный по трем зонам суток </w:t>
            </w:r>
            <w:hyperlink w:anchor="P282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E92CFE">
        <w:tc>
          <w:tcPr>
            <w:tcW w:w="624" w:type="dxa"/>
            <w:vMerge/>
          </w:tcPr>
          <w:p w:rsidR="00E92CFE" w:rsidRDefault="00E92CFE"/>
        </w:tc>
        <w:tc>
          <w:tcPr>
            <w:tcW w:w="3969" w:type="dxa"/>
          </w:tcPr>
          <w:p w:rsidR="00E92CFE" w:rsidRDefault="00E92CFE">
            <w:pPr>
              <w:pStyle w:val="ConsPlusNormal"/>
            </w:pPr>
            <w:r>
              <w:t>Пиковая зона</w:t>
            </w:r>
          </w:p>
        </w:tc>
        <w:tc>
          <w:tcPr>
            <w:tcW w:w="1276" w:type="dxa"/>
          </w:tcPr>
          <w:p w:rsidR="00E92CFE" w:rsidRDefault="00E92CFE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2,14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2,20</w:t>
            </w:r>
          </w:p>
        </w:tc>
      </w:tr>
      <w:tr w:rsidR="00E92CFE">
        <w:tc>
          <w:tcPr>
            <w:tcW w:w="624" w:type="dxa"/>
            <w:vMerge/>
          </w:tcPr>
          <w:p w:rsidR="00E92CFE" w:rsidRDefault="00E92CFE"/>
        </w:tc>
        <w:tc>
          <w:tcPr>
            <w:tcW w:w="3969" w:type="dxa"/>
          </w:tcPr>
          <w:p w:rsidR="00E92CFE" w:rsidRDefault="00E92CFE">
            <w:pPr>
              <w:pStyle w:val="ConsPlusNormal"/>
            </w:pPr>
            <w:r>
              <w:t>Полупиковая зона</w:t>
            </w:r>
          </w:p>
        </w:tc>
        <w:tc>
          <w:tcPr>
            <w:tcW w:w="1276" w:type="dxa"/>
          </w:tcPr>
          <w:p w:rsidR="00E92CFE" w:rsidRDefault="00E92CFE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2,09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2,15</w:t>
            </w:r>
          </w:p>
        </w:tc>
      </w:tr>
      <w:tr w:rsidR="00E92CFE">
        <w:tc>
          <w:tcPr>
            <w:tcW w:w="624" w:type="dxa"/>
            <w:vMerge/>
          </w:tcPr>
          <w:p w:rsidR="00E92CFE" w:rsidRDefault="00E92CFE"/>
        </w:tc>
        <w:tc>
          <w:tcPr>
            <w:tcW w:w="3969" w:type="dxa"/>
          </w:tcPr>
          <w:p w:rsidR="00E92CFE" w:rsidRDefault="00E92CFE">
            <w:pPr>
              <w:pStyle w:val="ConsPlusNormal"/>
            </w:pPr>
            <w:r>
              <w:t>Ночная зона</w:t>
            </w:r>
          </w:p>
        </w:tc>
        <w:tc>
          <w:tcPr>
            <w:tcW w:w="1276" w:type="dxa"/>
          </w:tcPr>
          <w:p w:rsidR="00E92CFE" w:rsidRDefault="00E92CFE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1,04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1,07</w:t>
            </w:r>
          </w:p>
        </w:tc>
      </w:tr>
      <w:tr w:rsidR="00E92CFE">
        <w:tc>
          <w:tcPr>
            <w:tcW w:w="624" w:type="dxa"/>
          </w:tcPr>
          <w:p w:rsidR="00E92CFE" w:rsidRDefault="00E92CFE">
            <w:pPr>
              <w:pStyle w:val="ConsPlusNormal"/>
              <w:jc w:val="center"/>
            </w:pPr>
            <w:bookmarkStart w:id="2" w:name="P114"/>
            <w:bookmarkEnd w:id="2"/>
            <w:r>
              <w:t>3.</w:t>
            </w:r>
          </w:p>
        </w:tc>
        <w:tc>
          <w:tcPr>
            <w:tcW w:w="8419" w:type="dxa"/>
            <w:gridSpan w:val="4"/>
          </w:tcPr>
          <w:p w:rsidR="00E92CFE" w:rsidRDefault="00E92CFE">
            <w:pPr>
              <w:pStyle w:val="ConsPlusNormal"/>
              <w:jc w:val="both"/>
            </w:pPr>
            <w:r>
              <w:t xml:space="preserve">Население, проживающее в сельских населенных пунктах </w:t>
            </w:r>
            <w:hyperlink w:anchor="P284" w:history="1">
              <w:r>
                <w:rPr>
                  <w:color w:val="0000FF"/>
                </w:rPr>
                <w:t>&lt;3&gt;</w:t>
              </w:r>
            </w:hyperlink>
            <w:r>
              <w:t xml:space="preserve"> и приравненные к ним (тарифы указываются с учетом НДС):</w:t>
            </w:r>
          </w:p>
          <w:p w:rsidR="00E92CFE" w:rsidRDefault="00E92CFE">
            <w:pPr>
              <w:pStyle w:val="ConsPlusNormal"/>
              <w:jc w:val="both"/>
            </w:pPr>
            <w:r>
              <w:t>- 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E92CFE" w:rsidRDefault="00E92CFE">
            <w:pPr>
              <w:pStyle w:val="ConsPlusNormal"/>
              <w:jc w:val="both"/>
            </w:pPr>
            <w:r>
              <w:t>- 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  <w:p w:rsidR="00E92CFE" w:rsidRDefault="00E92CFE">
            <w:pPr>
              <w:pStyle w:val="ConsPlusNormal"/>
              <w:jc w:val="both"/>
            </w:pPr>
            <w:r>
              <w:lastRenderedPageBreak/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данном пункте </w:t>
            </w:r>
            <w:hyperlink w:anchor="P285" w:history="1">
              <w:r>
                <w:rPr>
                  <w:color w:val="0000FF"/>
                </w:rPr>
                <w:t>&lt;4&gt;</w:t>
              </w:r>
            </w:hyperlink>
          </w:p>
        </w:tc>
      </w:tr>
      <w:tr w:rsidR="00E92CFE">
        <w:tc>
          <w:tcPr>
            <w:tcW w:w="624" w:type="dxa"/>
          </w:tcPr>
          <w:p w:rsidR="00E92CFE" w:rsidRDefault="00E92CFE">
            <w:pPr>
              <w:pStyle w:val="ConsPlusNormal"/>
              <w:jc w:val="center"/>
            </w:pPr>
            <w:r>
              <w:lastRenderedPageBreak/>
              <w:t>3.1</w:t>
            </w:r>
          </w:p>
        </w:tc>
        <w:tc>
          <w:tcPr>
            <w:tcW w:w="3969" w:type="dxa"/>
          </w:tcPr>
          <w:p w:rsidR="00E92CFE" w:rsidRDefault="00E92CFE">
            <w:pPr>
              <w:pStyle w:val="ConsPlusNormal"/>
            </w:pPr>
            <w:r>
              <w:t>Одноставочный тариф</w:t>
            </w:r>
          </w:p>
        </w:tc>
        <w:tc>
          <w:tcPr>
            <w:tcW w:w="1276" w:type="dxa"/>
          </w:tcPr>
          <w:p w:rsidR="00E92CFE" w:rsidRDefault="00E92CFE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2,09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2,16</w:t>
            </w:r>
          </w:p>
        </w:tc>
      </w:tr>
      <w:tr w:rsidR="00E92CFE">
        <w:tc>
          <w:tcPr>
            <w:tcW w:w="624" w:type="dxa"/>
            <w:vMerge w:val="restart"/>
          </w:tcPr>
          <w:p w:rsidR="00E92CFE" w:rsidRDefault="00E92CFE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8419" w:type="dxa"/>
            <w:gridSpan w:val="4"/>
          </w:tcPr>
          <w:p w:rsidR="00E92CFE" w:rsidRDefault="00E92CFE">
            <w:pPr>
              <w:pStyle w:val="ConsPlusNormal"/>
            </w:pPr>
            <w:r>
              <w:t xml:space="preserve">Одноставочный тариф, дифференцированный по двум зонам суток </w:t>
            </w:r>
            <w:hyperlink w:anchor="P282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E92CFE">
        <w:tc>
          <w:tcPr>
            <w:tcW w:w="624" w:type="dxa"/>
            <w:vMerge/>
          </w:tcPr>
          <w:p w:rsidR="00E92CFE" w:rsidRDefault="00E92CFE"/>
        </w:tc>
        <w:tc>
          <w:tcPr>
            <w:tcW w:w="3969" w:type="dxa"/>
          </w:tcPr>
          <w:p w:rsidR="00E92CFE" w:rsidRDefault="00E92CFE">
            <w:pPr>
              <w:pStyle w:val="ConsPlusNormal"/>
            </w:pPr>
            <w:r>
              <w:t>Дневная зона (пиковая и полупиковая)</w:t>
            </w:r>
          </w:p>
        </w:tc>
        <w:tc>
          <w:tcPr>
            <w:tcW w:w="1276" w:type="dxa"/>
          </w:tcPr>
          <w:p w:rsidR="00E92CFE" w:rsidRDefault="00E92CFE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2,11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2,18</w:t>
            </w:r>
          </w:p>
        </w:tc>
      </w:tr>
      <w:tr w:rsidR="00E92CFE">
        <w:tc>
          <w:tcPr>
            <w:tcW w:w="624" w:type="dxa"/>
            <w:vMerge/>
          </w:tcPr>
          <w:p w:rsidR="00E92CFE" w:rsidRDefault="00E92CFE"/>
        </w:tc>
        <w:tc>
          <w:tcPr>
            <w:tcW w:w="3969" w:type="dxa"/>
          </w:tcPr>
          <w:p w:rsidR="00E92CFE" w:rsidRDefault="00E92CFE">
            <w:pPr>
              <w:pStyle w:val="ConsPlusNormal"/>
            </w:pPr>
            <w:r>
              <w:t>Ночная зона</w:t>
            </w:r>
          </w:p>
        </w:tc>
        <w:tc>
          <w:tcPr>
            <w:tcW w:w="1276" w:type="dxa"/>
          </w:tcPr>
          <w:p w:rsidR="00E92CFE" w:rsidRDefault="00E92CFE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1,04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1,07</w:t>
            </w:r>
          </w:p>
        </w:tc>
      </w:tr>
      <w:tr w:rsidR="00E92CFE">
        <w:tc>
          <w:tcPr>
            <w:tcW w:w="624" w:type="dxa"/>
            <w:vMerge w:val="restart"/>
          </w:tcPr>
          <w:p w:rsidR="00E92CFE" w:rsidRDefault="00E92CFE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8419" w:type="dxa"/>
            <w:gridSpan w:val="4"/>
          </w:tcPr>
          <w:p w:rsidR="00E92CFE" w:rsidRDefault="00E92CFE">
            <w:pPr>
              <w:pStyle w:val="ConsPlusNormal"/>
              <w:jc w:val="both"/>
            </w:pPr>
            <w:r>
              <w:t xml:space="preserve">Одноставочный тариф, дифференцированный по трем зонам суток </w:t>
            </w:r>
            <w:hyperlink w:anchor="P282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E92CFE">
        <w:tc>
          <w:tcPr>
            <w:tcW w:w="624" w:type="dxa"/>
            <w:vMerge/>
          </w:tcPr>
          <w:p w:rsidR="00E92CFE" w:rsidRDefault="00E92CFE"/>
        </w:tc>
        <w:tc>
          <w:tcPr>
            <w:tcW w:w="3969" w:type="dxa"/>
          </w:tcPr>
          <w:p w:rsidR="00E92CFE" w:rsidRDefault="00E92CFE">
            <w:pPr>
              <w:pStyle w:val="ConsPlusNormal"/>
            </w:pPr>
            <w:r>
              <w:t>Пиковая зона</w:t>
            </w:r>
          </w:p>
        </w:tc>
        <w:tc>
          <w:tcPr>
            <w:tcW w:w="1276" w:type="dxa"/>
          </w:tcPr>
          <w:p w:rsidR="00E92CFE" w:rsidRDefault="00E92CFE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2,14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2,20</w:t>
            </w:r>
          </w:p>
        </w:tc>
      </w:tr>
      <w:tr w:rsidR="00E92CFE">
        <w:tc>
          <w:tcPr>
            <w:tcW w:w="624" w:type="dxa"/>
            <w:vMerge/>
          </w:tcPr>
          <w:p w:rsidR="00E92CFE" w:rsidRDefault="00E92CFE"/>
        </w:tc>
        <w:tc>
          <w:tcPr>
            <w:tcW w:w="3969" w:type="dxa"/>
          </w:tcPr>
          <w:p w:rsidR="00E92CFE" w:rsidRDefault="00E92CFE">
            <w:pPr>
              <w:pStyle w:val="ConsPlusNormal"/>
            </w:pPr>
            <w:r>
              <w:t>Полупиковая зона</w:t>
            </w:r>
          </w:p>
        </w:tc>
        <w:tc>
          <w:tcPr>
            <w:tcW w:w="1276" w:type="dxa"/>
          </w:tcPr>
          <w:p w:rsidR="00E92CFE" w:rsidRDefault="00E92CFE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2,09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2,15</w:t>
            </w:r>
          </w:p>
        </w:tc>
      </w:tr>
      <w:tr w:rsidR="00E92CFE">
        <w:tc>
          <w:tcPr>
            <w:tcW w:w="624" w:type="dxa"/>
            <w:vMerge/>
          </w:tcPr>
          <w:p w:rsidR="00E92CFE" w:rsidRDefault="00E92CFE"/>
        </w:tc>
        <w:tc>
          <w:tcPr>
            <w:tcW w:w="3969" w:type="dxa"/>
          </w:tcPr>
          <w:p w:rsidR="00E92CFE" w:rsidRDefault="00E92CFE">
            <w:pPr>
              <w:pStyle w:val="ConsPlusNormal"/>
            </w:pPr>
            <w:r>
              <w:t>Ночная зона</w:t>
            </w:r>
          </w:p>
        </w:tc>
        <w:tc>
          <w:tcPr>
            <w:tcW w:w="1276" w:type="dxa"/>
          </w:tcPr>
          <w:p w:rsidR="00E92CFE" w:rsidRDefault="00E92CFE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1,04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1,07</w:t>
            </w:r>
          </w:p>
        </w:tc>
      </w:tr>
      <w:tr w:rsidR="00E92CFE">
        <w:tc>
          <w:tcPr>
            <w:tcW w:w="624" w:type="dxa"/>
          </w:tcPr>
          <w:p w:rsidR="00E92CFE" w:rsidRDefault="00E92CF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8419" w:type="dxa"/>
            <w:gridSpan w:val="4"/>
          </w:tcPr>
          <w:p w:rsidR="00E92CFE" w:rsidRDefault="00E92CFE">
            <w:pPr>
              <w:pStyle w:val="ConsPlusNormal"/>
              <w:jc w:val="both"/>
            </w:pPr>
            <w:r>
              <w:t>Потребители, приравненные к населению (тарифы указываются с учетом НДС):</w:t>
            </w:r>
          </w:p>
        </w:tc>
      </w:tr>
      <w:tr w:rsidR="00E92CFE">
        <w:tc>
          <w:tcPr>
            <w:tcW w:w="624" w:type="dxa"/>
          </w:tcPr>
          <w:p w:rsidR="00E92CFE" w:rsidRDefault="00E92CFE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8419" w:type="dxa"/>
            <w:gridSpan w:val="4"/>
          </w:tcPr>
          <w:p w:rsidR="00E92CFE" w:rsidRDefault="00E92CFE">
            <w:pPr>
              <w:pStyle w:val="ConsPlusNormal"/>
              <w:jc w:val="both"/>
            </w:pPr>
            <w:r>
              <w:t>Садоводческие некоммерческие товарищества и огороднические некоммерческие товарищества.</w:t>
            </w:r>
          </w:p>
          <w:p w:rsidR="00E92CFE" w:rsidRDefault="00E92CFE">
            <w:pPr>
              <w:pStyle w:val="ConsPlusNormal"/>
              <w:jc w:val="both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 </w:t>
            </w:r>
            <w:hyperlink w:anchor="P285" w:history="1">
              <w:r>
                <w:rPr>
                  <w:color w:val="0000FF"/>
                </w:rPr>
                <w:t>&lt;4&gt;</w:t>
              </w:r>
            </w:hyperlink>
            <w:r>
              <w:t>.</w:t>
            </w:r>
          </w:p>
        </w:tc>
      </w:tr>
      <w:tr w:rsidR="00E92CFE">
        <w:tc>
          <w:tcPr>
            <w:tcW w:w="624" w:type="dxa"/>
          </w:tcPr>
          <w:p w:rsidR="00E92CFE" w:rsidRDefault="00E92CFE">
            <w:pPr>
              <w:pStyle w:val="ConsPlusNormal"/>
              <w:jc w:val="center"/>
            </w:pPr>
            <w:r>
              <w:t>4.1.1</w:t>
            </w:r>
          </w:p>
        </w:tc>
        <w:tc>
          <w:tcPr>
            <w:tcW w:w="3969" w:type="dxa"/>
          </w:tcPr>
          <w:p w:rsidR="00E92CFE" w:rsidRDefault="00E92CFE">
            <w:pPr>
              <w:pStyle w:val="ConsPlusNormal"/>
            </w:pPr>
            <w:r>
              <w:t>Одноставочный тариф</w:t>
            </w:r>
          </w:p>
        </w:tc>
        <w:tc>
          <w:tcPr>
            <w:tcW w:w="1276" w:type="dxa"/>
          </w:tcPr>
          <w:p w:rsidR="00E92CFE" w:rsidRDefault="00E92CFE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2,97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3,07</w:t>
            </w:r>
          </w:p>
        </w:tc>
      </w:tr>
      <w:tr w:rsidR="00E92CFE">
        <w:tc>
          <w:tcPr>
            <w:tcW w:w="624" w:type="dxa"/>
            <w:vMerge w:val="restart"/>
          </w:tcPr>
          <w:p w:rsidR="00E92CFE" w:rsidRDefault="00E92CFE">
            <w:pPr>
              <w:pStyle w:val="ConsPlusNormal"/>
              <w:jc w:val="center"/>
            </w:pPr>
            <w:r>
              <w:t>4.1.2</w:t>
            </w:r>
          </w:p>
        </w:tc>
        <w:tc>
          <w:tcPr>
            <w:tcW w:w="8419" w:type="dxa"/>
            <w:gridSpan w:val="4"/>
          </w:tcPr>
          <w:p w:rsidR="00E92CFE" w:rsidRDefault="00E92CFE">
            <w:pPr>
              <w:pStyle w:val="ConsPlusNormal"/>
            </w:pPr>
            <w:r>
              <w:t xml:space="preserve">Одноставочный тариф, дифференцированный по двум зонам суток </w:t>
            </w:r>
            <w:hyperlink w:anchor="P282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E92CFE">
        <w:tc>
          <w:tcPr>
            <w:tcW w:w="624" w:type="dxa"/>
            <w:vMerge/>
          </w:tcPr>
          <w:p w:rsidR="00E92CFE" w:rsidRDefault="00E92CFE"/>
        </w:tc>
        <w:tc>
          <w:tcPr>
            <w:tcW w:w="3969" w:type="dxa"/>
          </w:tcPr>
          <w:p w:rsidR="00E92CFE" w:rsidRDefault="00E92CFE">
            <w:pPr>
              <w:pStyle w:val="ConsPlusNormal"/>
            </w:pPr>
            <w:r>
              <w:t>Дневная зона (пиковая и полупиковая)</w:t>
            </w:r>
          </w:p>
        </w:tc>
        <w:tc>
          <w:tcPr>
            <w:tcW w:w="1276" w:type="dxa"/>
          </w:tcPr>
          <w:p w:rsidR="00E92CFE" w:rsidRDefault="00E92CFE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3,02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3,12</w:t>
            </w:r>
          </w:p>
        </w:tc>
      </w:tr>
      <w:tr w:rsidR="00E92CFE">
        <w:tc>
          <w:tcPr>
            <w:tcW w:w="624" w:type="dxa"/>
            <w:vMerge/>
          </w:tcPr>
          <w:p w:rsidR="00E92CFE" w:rsidRDefault="00E92CFE"/>
        </w:tc>
        <w:tc>
          <w:tcPr>
            <w:tcW w:w="3969" w:type="dxa"/>
          </w:tcPr>
          <w:p w:rsidR="00E92CFE" w:rsidRDefault="00E92CFE">
            <w:pPr>
              <w:pStyle w:val="ConsPlusNormal"/>
            </w:pPr>
            <w:r>
              <w:t>Ночная зона</w:t>
            </w:r>
          </w:p>
        </w:tc>
        <w:tc>
          <w:tcPr>
            <w:tcW w:w="1276" w:type="dxa"/>
          </w:tcPr>
          <w:p w:rsidR="00E92CFE" w:rsidRDefault="00E92CFE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1,49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1,54</w:t>
            </w:r>
          </w:p>
        </w:tc>
      </w:tr>
      <w:tr w:rsidR="00E92CFE">
        <w:tc>
          <w:tcPr>
            <w:tcW w:w="624" w:type="dxa"/>
            <w:vMerge w:val="restart"/>
          </w:tcPr>
          <w:p w:rsidR="00E92CFE" w:rsidRDefault="00E92CFE">
            <w:pPr>
              <w:pStyle w:val="ConsPlusNormal"/>
              <w:jc w:val="center"/>
            </w:pPr>
            <w:r>
              <w:t>4.1.3</w:t>
            </w:r>
          </w:p>
        </w:tc>
        <w:tc>
          <w:tcPr>
            <w:tcW w:w="8419" w:type="dxa"/>
            <w:gridSpan w:val="4"/>
          </w:tcPr>
          <w:p w:rsidR="00E92CFE" w:rsidRDefault="00E92CFE">
            <w:pPr>
              <w:pStyle w:val="ConsPlusNormal"/>
            </w:pPr>
            <w:r>
              <w:t xml:space="preserve">Одноставочный тариф, дифференцированный по трем зонам суток </w:t>
            </w:r>
            <w:hyperlink w:anchor="P282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E92CFE">
        <w:tc>
          <w:tcPr>
            <w:tcW w:w="624" w:type="dxa"/>
            <w:vMerge/>
          </w:tcPr>
          <w:p w:rsidR="00E92CFE" w:rsidRDefault="00E92CFE"/>
        </w:tc>
        <w:tc>
          <w:tcPr>
            <w:tcW w:w="3969" w:type="dxa"/>
          </w:tcPr>
          <w:p w:rsidR="00E92CFE" w:rsidRDefault="00E92CFE">
            <w:pPr>
              <w:pStyle w:val="ConsPlusNormal"/>
            </w:pPr>
            <w:r>
              <w:t>Пиковая зона</w:t>
            </w:r>
          </w:p>
        </w:tc>
        <w:tc>
          <w:tcPr>
            <w:tcW w:w="1276" w:type="dxa"/>
          </w:tcPr>
          <w:p w:rsidR="00E92CFE" w:rsidRDefault="00E92CFE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3,04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3,14</w:t>
            </w:r>
          </w:p>
        </w:tc>
      </w:tr>
      <w:tr w:rsidR="00E92CFE">
        <w:tc>
          <w:tcPr>
            <w:tcW w:w="624" w:type="dxa"/>
            <w:vMerge/>
          </w:tcPr>
          <w:p w:rsidR="00E92CFE" w:rsidRDefault="00E92CFE"/>
        </w:tc>
        <w:tc>
          <w:tcPr>
            <w:tcW w:w="3969" w:type="dxa"/>
          </w:tcPr>
          <w:p w:rsidR="00E92CFE" w:rsidRDefault="00E92CFE">
            <w:pPr>
              <w:pStyle w:val="ConsPlusNormal"/>
            </w:pPr>
            <w:r>
              <w:t>Полупиковая зона</w:t>
            </w:r>
          </w:p>
        </w:tc>
        <w:tc>
          <w:tcPr>
            <w:tcW w:w="1276" w:type="dxa"/>
          </w:tcPr>
          <w:p w:rsidR="00E92CFE" w:rsidRDefault="00E92CFE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2,97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3,07</w:t>
            </w:r>
          </w:p>
        </w:tc>
      </w:tr>
      <w:tr w:rsidR="00E92CFE">
        <w:tc>
          <w:tcPr>
            <w:tcW w:w="624" w:type="dxa"/>
            <w:vMerge/>
          </w:tcPr>
          <w:p w:rsidR="00E92CFE" w:rsidRDefault="00E92CFE"/>
        </w:tc>
        <w:tc>
          <w:tcPr>
            <w:tcW w:w="3969" w:type="dxa"/>
          </w:tcPr>
          <w:p w:rsidR="00E92CFE" w:rsidRDefault="00E92CFE">
            <w:pPr>
              <w:pStyle w:val="ConsPlusNormal"/>
            </w:pPr>
            <w:r>
              <w:t>Ночная зона</w:t>
            </w:r>
          </w:p>
        </w:tc>
        <w:tc>
          <w:tcPr>
            <w:tcW w:w="1276" w:type="dxa"/>
          </w:tcPr>
          <w:p w:rsidR="00E92CFE" w:rsidRDefault="00E92CFE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1,49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1,54</w:t>
            </w:r>
          </w:p>
        </w:tc>
      </w:tr>
      <w:tr w:rsidR="00E92CFE">
        <w:tc>
          <w:tcPr>
            <w:tcW w:w="624" w:type="dxa"/>
          </w:tcPr>
          <w:p w:rsidR="00E92CFE" w:rsidRDefault="00E92CFE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8419" w:type="dxa"/>
            <w:gridSpan w:val="4"/>
          </w:tcPr>
          <w:p w:rsidR="00E92CFE" w:rsidRDefault="00E92CFE">
            <w:pPr>
              <w:pStyle w:val="ConsPlusNormal"/>
              <w:jc w:val="both"/>
            </w:pPr>
            <w: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помещений.</w:t>
            </w:r>
          </w:p>
          <w:p w:rsidR="00E92CFE" w:rsidRDefault="00E92CFE">
            <w:pPr>
              <w:pStyle w:val="ConsPlusNormal"/>
              <w:jc w:val="both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 </w:t>
            </w:r>
            <w:hyperlink w:anchor="P285" w:history="1">
              <w:r>
                <w:rPr>
                  <w:color w:val="0000FF"/>
                </w:rPr>
                <w:t>&lt;4&gt;</w:t>
              </w:r>
            </w:hyperlink>
            <w:r>
              <w:t>.</w:t>
            </w:r>
          </w:p>
        </w:tc>
      </w:tr>
      <w:tr w:rsidR="00E92CFE">
        <w:tc>
          <w:tcPr>
            <w:tcW w:w="624" w:type="dxa"/>
          </w:tcPr>
          <w:p w:rsidR="00E92CFE" w:rsidRDefault="00E92CFE">
            <w:pPr>
              <w:pStyle w:val="ConsPlusNormal"/>
              <w:jc w:val="center"/>
            </w:pPr>
            <w:r>
              <w:t>4.2.1</w:t>
            </w:r>
          </w:p>
        </w:tc>
        <w:tc>
          <w:tcPr>
            <w:tcW w:w="3969" w:type="dxa"/>
          </w:tcPr>
          <w:p w:rsidR="00E92CFE" w:rsidRDefault="00E92CFE">
            <w:pPr>
              <w:pStyle w:val="ConsPlusNormal"/>
            </w:pPr>
            <w:r>
              <w:t>Одноставочный тариф</w:t>
            </w:r>
          </w:p>
        </w:tc>
        <w:tc>
          <w:tcPr>
            <w:tcW w:w="1276" w:type="dxa"/>
          </w:tcPr>
          <w:p w:rsidR="00E92CFE" w:rsidRDefault="00E92CFE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2,97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3,07</w:t>
            </w:r>
          </w:p>
        </w:tc>
      </w:tr>
      <w:tr w:rsidR="00E92CFE">
        <w:tc>
          <w:tcPr>
            <w:tcW w:w="624" w:type="dxa"/>
            <w:vMerge w:val="restart"/>
          </w:tcPr>
          <w:p w:rsidR="00E92CFE" w:rsidRDefault="00E92CFE">
            <w:pPr>
              <w:pStyle w:val="ConsPlusNormal"/>
              <w:jc w:val="center"/>
            </w:pPr>
            <w:r>
              <w:t>4.2.2</w:t>
            </w:r>
          </w:p>
        </w:tc>
        <w:tc>
          <w:tcPr>
            <w:tcW w:w="8419" w:type="dxa"/>
            <w:gridSpan w:val="4"/>
          </w:tcPr>
          <w:p w:rsidR="00E92CFE" w:rsidRDefault="00E92CFE">
            <w:pPr>
              <w:pStyle w:val="ConsPlusNormal"/>
            </w:pPr>
            <w:r>
              <w:t xml:space="preserve">Одноставочный тариф, дифференцированный по двум зонам суток </w:t>
            </w:r>
            <w:hyperlink w:anchor="P282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E92CFE">
        <w:tc>
          <w:tcPr>
            <w:tcW w:w="624" w:type="dxa"/>
            <w:vMerge/>
          </w:tcPr>
          <w:p w:rsidR="00E92CFE" w:rsidRDefault="00E92CFE"/>
        </w:tc>
        <w:tc>
          <w:tcPr>
            <w:tcW w:w="3969" w:type="dxa"/>
          </w:tcPr>
          <w:p w:rsidR="00E92CFE" w:rsidRDefault="00E92CFE">
            <w:pPr>
              <w:pStyle w:val="ConsPlusNormal"/>
            </w:pPr>
            <w:r>
              <w:t>Дневная зона (пиковая и полупиковая)</w:t>
            </w:r>
          </w:p>
        </w:tc>
        <w:tc>
          <w:tcPr>
            <w:tcW w:w="1276" w:type="dxa"/>
          </w:tcPr>
          <w:p w:rsidR="00E92CFE" w:rsidRDefault="00E92CFE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3,02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3,12</w:t>
            </w:r>
          </w:p>
        </w:tc>
      </w:tr>
      <w:tr w:rsidR="00E92CFE">
        <w:tc>
          <w:tcPr>
            <w:tcW w:w="624" w:type="dxa"/>
            <w:vMerge/>
          </w:tcPr>
          <w:p w:rsidR="00E92CFE" w:rsidRDefault="00E92CFE"/>
        </w:tc>
        <w:tc>
          <w:tcPr>
            <w:tcW w:w="3969" w:type="dxa"/>
          </w:tcPr>
          <w:p w:rsidR="00E92CFE" w:rsidRDefault="00E92CFE">
            <w:pPr>
              <w:pStyle w:val="ConsPlusNormal"/>
            </w:pPr>
            <w:r>
              <w:t>Ночная зона</w:t>
            </w:r>
          </w:p>
        </w:tc>
        <w:tc>
          <w:tcPr>
            <w:tcW w:w="1276" w:type="dxa"/>
          </w:tcPr>
          <w:p w:rsidR="00E92CFE" w:rsidRDefault="00E92CFE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1,49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1,54</w:t>
            </w:r>
          </w:p>
        </w:tc>
      </w:tr>
      <w:tr w:rsidR="00E92CFE">
        <w:tc>
          <w:tcPr>
            <w:tcW w:w="624" w:type="dxa"/>
            <w:vMerge w:val="restart"/>
          </w:tcPr>
          <w:p w:rsidR="00E92CFE" w:rsidRDefault="00E92CFE">
            <w:pPr>
              <w:pStyle w:val="ConsPlusNormal"/>
              <w:jc w:val="center"/>
            </w:pPr>
            <w:r>
              <w:t>4.2.3</w:t>
            </w:r>
          </w:p>
        </w:tc>
        <w:tc>
          <w:tcPr>
            <w:tcW w:w="8419" w:type="dxa"/>
            <w:gridSpan w:val="4"/>
          </w:tcPr>
          <w:p w:rsidR="00E92CFE" w:rsidRDefault="00E92CFE">
            <w:pPr>
              <w:pStyle w:val="ConsPlusNormal"/>
            </w:pPr>
            <w:r>
              <w:t xml:space="preserve">Одноставочный тариф, дифференцированный по трем зонам суток </w:t>
            </w:r>
            <w:hyperlink w:anchor="P282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E92CFE">
        <w:tc>
          <w:tcPr>
            <w:tcW w:w="624" w:type="dxa"/>
            <w:vMerge/>
          </w:tcPr>
          <w:p w:rsidR="00E92CFE" w:rsidRDefault="00E92CFE"/>
        </w:tc>
        <w:tc>
          <w:tcPr>
            <w:tcW w:w="3969" w:type="dxa"/>
          </w:tcPr>
          <w:p w:rsidR="00E92CFE" w:rsidRDefault="00E92CFE">
            <w:pPr>
              <w:pStyle w:val="ConsPlusNormal"/>
            </w:pPr>
            <w:r>
              <w:t>Пиковая зона</w:t>
            </w:r>
          </w:p>
        </w:tc>
        <w:tc>
          <w:tcPr>
            <w:tcW w:w="1276" w:type="dxa"/>
          </w:tcPr>
          <w:p w:rsidR="00E92CFE" w:rsidRDefault="00E92CFE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3,04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3,14</w:t>
            </w:r>
          </w:p>
        </w:tc>
      </w:tr>
      <w:tr w:rsidR="00E92CFE">
        <w:tc>
          <w:tcPr>
            <w:tcW w:w="624" w:type="dxa"/>
            <w:vMerge/>
          </w:tcPr>
          <w:p w:rsidR="00E92CFE" w:rsidRDefault="00E92CFE"/>
        </w:tc>
        <w:tc>
          <w:tcPr>
            <w:tcW w:w="3969" w:type="dxa"/>
          </w:tcPr>
          <w:p w:rsidR="00E92CFE" w:rsidRDefault="00E92CFE">
            <w:pPr>
              <w:pStyle w:val="ConsPlusNormal"/>
            </w:pPr>
            <w:r>
              <w:t>Полупиковая зона</w:t>
            </w:r>
          </w:p>
        </w:tc>
        <w:tc>
          <w:tcPr>
            <w:tcW w:w="1276" w:type="dxa"/>
          </w:tcPr>
          <w:p w:rsidR="00E92CFE" w:rsidRDefault="00E92CFE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2,97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3,07</w:t>
            </w:r>
          </w:p>
        </w:tc>
      </w:tr>
      <w:tr w:rsidR="00E92CFE">
        <w:tc>
          <w:tcPr>
            <w:tcW w:w="624" w:type="dxa"/>
            <w:vMerge/>
          </w:tcPr>
          <w:p w:rsidR="00E92CFE" w:rsidRDefault="00E92CFE"/>
        </w:tc>
        <w:tc>
          <w:tcPr>
            <w:tcW w:w="3969" w:type="dxa"/>
          </w:tcPr>
          <w:p w:rsidR="00E92CFE" w:rsidRDefault="00E92CFE">
            <w:pPr>
              <w:pStyle w:val="ConsPlusNormal"/>
            </w:pPr>
            <w:r>
              <w:t>Ночная зона</w:t>
            </w:r>
          </w:p>
        </w:tc>
        <w:tc>
          <w:tcPr>
            <w:tcW w:w="1276" w:type="dxa"/>
          </w:tcPr>
          <w:p w:rsidR="00E92CFE" w:rsidRDefault="00E92CFE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1,49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1,54</w:t>
            </w:r>
          </w:p>
        </w:tc>
      </w:tr>
      <w:tr w:rsidR="00E92CFE">
        <w:tc>
          <w:tcPr>
            <w:tcW w:w="624" w:type="dxa"/>
          </w:tcPr>
          <w:p w:rsidR="00E92CFE" w:rsidRDefault="00E92CFE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8419" w:type="dxa"/>
            <w:gridSpan w:val="4"/>
          </w:tcPr>
          <w:p w:rsidR="00E92CFE" w:rsidRDefault="00E92CFE">
            <w:pPr>
              <w:pStyle w:val="ConsPlusNormal"/>
              <w:jc w:val="both"/>
            </w:pPr>
            <w:r>
              <w:t>Содержащиеся за счет прихожан религиозные организации.</w:t>
            </w:r>
          </w:p>
          <w:p w:rsidR="00E92CFE" w:rsidRDefault="00E92CFE">
            <w:pPr>
              <w:pStyle w:val="ConsPlusNormal"/>
              <w:jc w:val="both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 </w:t>
            </w:r>
            <w:hyperlink w:anchor="P285" w:history="1">
              <w:r>
                <w:rPr>
                  <w:color w:val="0000FF"/>
                </w:rPr>
                <w:t>&lt;4&gt;</w:t>
              </w:r>
            </w:hyperlink>
            <w:r>
              <w:t>.</w:t>
            </w:r>
          </w:p>
        </w:tc>
      </w:tr>
      <w:tr w:rsidR="00E92CFE">
        <w:tc>
          <w:tcPr>
            <w:tcW w:w="624" w:type="dxa"/>
          </w:tcPr>
          <w:p w:rsidR="00E92CFE" w:rsidRDefault="00E92CFE">
            <w:pPr>
              <w:pStyle w:val="ConsPlusNormal"/>
              <w:jc w:val="center"/>
            </w:pPr>
            <w:r>
              <w:t>4.3.1</w:t>
            </w:r>
          </w:p>
        </w:tc>
        <w:tc>
          <w:tcPr>
            <w:tcW w:w="3969" w:type="dxa"/>
          </w:tcPr>
          <w:p w:rsidR="00E92CFE" w:rsidRDefault="00E92CFE">
            <w:pPr>
              <w:pStyle w:val="ConsPlusNormal"/>
            </w:pPr>
            <w:r>
              <w:t>Одноставочный тариф</w:t>
            </w:r>
          </w:p>
        </w:tc>
        <w:tc>
          <w:tcPr>
            <w:tcW w:w="1276" w:type="dxa"/>
          </w:tcPr>
          <w:p w:rsidR="00E92CFE" w:rsidRDefault="00E92CFE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2,97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3,07</w:t>
            </w:r>
          </w:p>
        </w:tc>
      </w:tr>
      <w:tr w:rsidR="00E92CFE">
        <w:tc>
          <w:tcPr>
            <w:tcW w:w="624" w:type="dxa"/>
            <w:vMerge w:val="restart"/>
          </w:tcPr>
          <w:p w:rsidR="00E92CFE" w:rsidRDefault="00E92CFE">
            <w:pPr>
              <w:pStyle w:val="ConsPlusNormal"/>
              <w:jc w:val="center"/>
            </w:pPr>
            <w:r>
              <w:t>4.3.2</w:t>
            </w:r>
          </w:p>
        </w:tc>
        <w:tc>
          <w:tcPr>
            <w:tcW w:w="8419" w:type="dxa"/>
            <w:gridSpan w:val="4"/>
          </w:tcPr>
          <w:p w:rsidR="00E92CFE" w:rsidRDefault="00E92CFE">
            <w:pPr>
              <w:pStyle w:val="ConsPlusNormal"/>
            </w:pPr>
            <w:r>
              <w:t xml:space="preserve">Одноставочный тариф, дифференцированный по двум зонам суток </w:t>
            </w:r>
            <w:hyperlink w:anchor="P282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E92CFE">
        <w:tc>
          <w:tcPr>
            <w:tcW w:w="624" w:type="dxa"/>
            <w:vMerge/>
          </w:tcPr>
          <w:p w:rsidR="00E92CFE" w:rsidRDefault="00E92CFE"/>
        </w:tc>
        <w:tc>
          <w:tcPr>
            <w:tcW w:w="3969" w:type="dxa"/>
          </w:tcPr>
          <w:p w:rsidR="00E92CFE" w:rsidRDefault="00E92CFE">
            <w:pPr>
              <w:pStyle w:val="ConsPlusNormal"/>
            </w:pPr>
            <w:r>
              <w:t>Дневная зона (пиковая и полупиковая)</w:t>
            </w:r>
          </w:p>
        </w:tc>
        <w:tc>
          <w:tcPr>
            <w:tcW w:w="1276" w:type="dxa"/>
          </w:tcPr>
          <w:p w:rsidR="00E92CFE" w:rsidRDefault="00E92CFE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3,02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3,12</w:t>
            </w:r>
          </w:p>
        </w:tc>
      </w:tr>
      <w:tr w:rsidR="00E92CFE">
        <w:tc>
          <w:tcPr>
            <w:tcW w:w="624" w:type="dxa"/>
            <w:vMerge/>
          </w:tcPr>
          <w:p w:rsidR="00E92CFE" w:rsidRDefault="00E92CFE"/>
        </w:tc>
        <w:tc>
          <w:tcPr>
            <w:tcW w:w="3969" w:type="dxa"/>
          </w:tcPr>
          <w:p w:rsidR="00E92CFE" w:rsidRDefault="00E92CFE">
            <w:pPr>
              <w:pStyle w:val="ConsPlusNormal"/>
            </w:pPr>
            <w:r>
              <w:t>Ночная зона</w:t>
            </w:r>
          </w:p>
        </w:tc>
        <w:tc>
          <w:tcPr>
            <w:tcW w:w="1276" w:type="dxa"/>
          </w:tcPr>
          <w:p w:rsidR="00E92CFE" w:rsidRDefault="00E92CFE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1,49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1,54</w:t>
            </w:r>
          </w:p>
        </w:tc>
      </w:tr>
      <w:tr w:rsidR="00E92CFE">
        <w:tc>
          <w:tcPr>
            <w:tcW w:w="624" w:type="dxa"/>
            <w:vMerge w:val="restart"/>
          </w:tcPr>
          <w:p w:rsidR="00E92CFE" w:rsidRDefault="00E92CFE">
            <w:pPr>
              <w:pStyle w:val="ConsPlusNormal"/>
              <w:jc w:val="center"/>
            </w:pPr>
            <w:r>
              <w:t>4.3.3</w:t>
            </w:r>
          </w:p>
        </w:tc>
        <w:tc>
          <w:tcPr>
            <w:tcW w:w="8419" w:type="dxa"/>
            <w:gridSpan w:val="4"/>
          </w:tcPr>
          <w:p w:rsidR="00E92CFE" w:rsidRDefault="00E92CFE">
            <w:pPr>
              <w:pStyle w:val="ConsPlusNormal"/>
            </w:pPr>
            <w:r>
              <w:t xml:space="preserve">Одноставочный тариф, дифференцированный по трем зонам суток </w:t>
            </w:r>
            <w:hyperlink w:anchor="P282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E92CFE">
        <w:tc>
          <w:tcPr>
            <w:tcW w:w="624" w:type="dxa"/>
            <w:vMerge/>
          </w:tcPr>
          <w:p w:rsidR="00E92CFE" w:rsidRDefault="00E92CFE"/>
        </w:tc>
        <w:tc>
          <w:tcPr>
            <w:tcW w:w="3969" w:type="dxa"/>
          </w:tcPr>
          <w:p w:rsidR="00E92CFE" w:rsidRDefault="00E92CFE">
            <w:pPr>
              <w:pStyle w:val="ConsPlusNormal"/>
            </w:pPr>
            <w:r>
              <w:t>Пиковая зона</w:t>
            </w:r>
          </w:p>
        </w:tc>
        <w:tc>
          <w:tcPr>
            <w:tcW w:w="1276" w:type="dxa"/>
          </w:tcPr>
          <w:p w:rsidR="00E92CFE" w:rsidRDefault="00E92CFE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3,04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3,14</w:t>
            </w:r>
          </w:p>
        </w:tc>
      </w:tr>
      <w:tr w:rsidR="00E92CFE">
        <w:tc>
          <w:tcPr>
            <w:tcW w:w="624" w:type="dxa"/>
            <w:vMerge/>
          </w:tcPr>
          <w:p w:rsidR="00E92CFE" w:rsidRDefault="00E92CFE"/>
        </w:tc>
        <w:tc>
          <w:tcPr>
            <w:tcW w:w="3969" w:type="dxa"/>
          </w:tcPr>
          <w:p w:rsidR="00E92CFE" w:rsidRDefault="00E92CFE">
            <w:pPr>
              <w:pStyle w:val="ConsPlusNormal"/>
            </w:pPr>
            <w:r>
              <w:t>Полупиковая зона</w:t>
            </w:r>
          </w:p>
        </w:tc>
        <w:tc>
          <w:tcPr>
            <w:tcW w:w="1276" w:type="dxa"/>
          </w:tcPr>
          <w:p w:rsidR="00E92CFE" w:rsidRDefault="00E92CFE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2,97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3,07</w:t>
            </w:r>
          </w:p>
        </w:tc>
      </w:tr>
      <w:tr w:rsidR="00E92CFE">
        <w:tc>
          <w:tcPr>
            <w:tcW w:w="624" w:type="dxa"/>
            <w:vMerge/>
          </w:tcPr>
          <w:p w:rsidR="00E92CFE" w:rsidRDefault="00E92CFE"/>
        </w:tc>
        <w:tc>
          <w:tcPr>
            <w:tcW w:w="3969" w:type="dxa"/>
          </w:tcPr>
          <w:p w:rsidR="00E92CFE" w:rsidRDefault="00E92CFE">
            <w:pPr>
              <w:pStyle w:val="ConsPlusNormal"/>
            </w:pPr>
            <w:r>
              <w:t>Ночная зона</w:t>
            </w:r>
          </w:p>
        </w:tc>
        <w:tc>
          <w:tcPr>
            <w:tcW w:w="1276" w:type="dxa"/>
          </w:tcPr>
          <w:p w:rsidR="00E92CFE" w:rsidRDefault="00E92CFE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1,49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1,54</w:t>
            </w:r>
          </w:p>
        </w:tc>
      </w:tr>
      <w:tr w:rsidR="00E92CFE">
        <w:tc>
          <w:tcPr>
            <w:tcW w:w="624" w:type="dxa"/>
          </w:tcPr>
          <w:p w:rsidR="00E92CFE" w:rsidRDefault="00E92CFE">
            <w:pPr>
              <w:pStyle w:val="ConsPlusNormal"/>
              <w:jc w:val="center"/>
            </w:pPr>
            <w:r>
              <w:t>4.4</w:t>
            </w:r>
          </w:p>
        </w:tc>
        <w:tc>
          <w:tcPr>
            <w:tcW w:w="8419" w:type="dxa"/>
            <w:gridSpan w:val="4"/>
          </w:tcPr>
          <w:p w:rsidR="00E92CFE" w:rsidRDefault="00E92CFE">
            <w:pPr>
              <w:pStyle w:val="ConsPlusNormal"/>
              <w:jc w:val="both"/>
            </w:pPr>
            <w: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сараи).</w:t>
            </w:r>
          </w:p>
          <w:p w:rsidR="00E92CFE" w:rsidRDefault="00E92CFE">
            <w:pPr>
              <w:pStyle w:val="ConsPlusNormal"/>
              <w:jc w:val="both"/>
            </w:pPr>
            <w:r>
              <w:t>Некоммерческие объединения граждан (гаражно-строительные, гаражные кооперативы) и граждане, владеющие отдельно стоящими гаражами,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деятельности.</w:t>
            </w:r>
          </w:p>
          <w:p w:rsidR="00E92CFE" w:rsidRDefault="00E92CFE">
            <w:pPr>
              <w:pStyle w:val="ConsPlusNormal"/>
              <w:jc w:val="both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 </w:t>
            </w:r>
            <w:hyperlink w:anchor="P285" w:history="1">
              <w:r>
                <w:rPr>
                  <w:color w:val="0000FF"/>
                </w:rPr>
                <w:t>&lt;4&gt;</w:t>
              </w:r>
            </w:hyperlink>
            <w:r>
              <w:t>.</w:t>
            </w:r>
          </w:p>
        </w:tc>
      </w:tr>
      <w:tr w:rsidR="00E92CFE">
        <w:tc>
          <w:tcPr>
            <w:tcW w:w="624" w:type="dxa"/>
          </w:tcPr>
          <w:p w:rsidR="00E92CFE" w:rsidRDefault="00E92CFE">
            <w:pPr>
              <w:pStyle w:val="ConsPlusNormal"/>
              <w:jc w:val="center"/>
            </w:pPr>
            <w:r>
              <w:t>4.4.1</w:t>
            </w:r>
          </w:p>
        </w:tc>
        <w:tc>
          <w:tcPr>
            <w:tcW w:w="3969" w:type="dxa"/>
          </w:tcPr>
          <w:p w:rsidR="00E92CFE" w:rsidRDefault="00E92CFE">
            <w:pPr>
              <w:pStyle w:val="ConsPlusNormal"/>
            </w:pPr>
            <w:r>
              <w:t>Одноставочный тариф</w:t>
            </w:r>
          </w:p>
        </w:tc>
        <w:tc>
          <w:tcPr>
            <w:tcW w:w="1276" w:type="dxa"/>
          </w:tcPr>
          <w:p w:rsidR="00E92CFE" w:rsidRDefault="00E92CFE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2,97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3,07</w:t>
            </w:r>
          </w:p>
        </w:tc>
      </w:tr>
      <w:tr w:rsidR="00E92CFE">
        <w:tc>
          <w:tcPr>
            <w:tcW w:w="624" w:type="dxa"/>
            <w:vMerge w:val="restart"/>
          </w:tcPr>
          <w:p w:rsidR="00E92CFE" w:rsidRDefault="00E92CFE">
            <w:pPr>
              <w:pStyle w:val="ConsPlusNormal"/>
              <w:jc w:val="center"/>
            </w:pPr>
            <w:r>
              <w:t>4.4.2</w:t>
            </w:r>
          </w:p>
        </w:tc>
        <w:tc>
          <w:tcPr>
            <w:tcW w:w="8419" w:type="dxa"/>
            <w:gridSpan w:val="4"/>
          </w:tcPr>
          <w:p w:rsidR="00E92CFE" w:rsidRDefault="00E92CFE">
            <w:pPr>
              <w:pStyle w:val="ConsPlusNormal"/>
            </w:pPr>
            <w:r>
              <w:t>Одноставочный тариф, дифференцированный по двум зонам суток</w:t>
            </w:r>
          </w:p>
        </w:tc>
      </w:tr>
      <w:tr w:rsidR="00E92CFE">
        <w:tc>
          <w:tcPr>
            <w:tcW w:w="624" w:type="dxa"/>
            <w:vMerge/>
          </w:tcPr>
          <w:p w:rsidR="00E92CFE" w:rsidRDefault="00E92CFE"/>
        </w:tc>
        <w:tc>
          <w:tcPr>
            <w:tcW w:w="3969" w:type="dxa"/>
          </w:tcPr>
          <w:p w:rsidR="00E92CFE" w:rsidRDefault="00E92CFE">
            <w:pPr>
              <w:pStyle w:val="ConsPlusNormal"/>
            </w:pPr>
            <w:r>
              <w:t>Дневная зона (пиковая и полупиковая)</w:t>
            </w:r>
          </w:p>
        </w:tc>
        <w:tc>
          <w:tcPr>
            <w:tcW w:w="1276" w:type="dxa"/>
          </w:tcPr>
          <w:p w:rsidR="00E92CFE" w:rsidRDefault="00E92CFE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3,02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3,12</w:t>
            </w:r>
          </w:p>
        </w:tc>
      </w:tr>
      <w:tr w:rsidR="00E92CFE">
        <w:tc>
          <w:tcPr>
            <w:tcW w:w="624" w:type="dxa"/>
            <w:vMerge/>
          </w:tcPr>
          <w:p w:rsidR="00E92CFE" w:rsidRDefault="00E92CFE"/>
        </w:tc>
        <w:tc>
          <w:tcPr>
            <w:tcW w:w="3969" w:type="dxa"/>
          </w:tcPr>
          <w:p w:rsidR="00E92CFE" w:rsidRDefault="00E92CFE">
            <w:pPr>
              <w:pStyle w:val="ConsPlusNormal"/>
            </w:pPr>
            <w:r>
              <w:t>Ночная зона</w:t>
            </w:r>
          </w:p>
        </w:tc>
        <w:tc>
          <w:tcPr>
            <w:tcW w:w="1276" w:type="dxa"/>
          </w:tcPr>
          <w:p w:rsidR="00E92CFE" w:rsidRDefault="00E92CFE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1,49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1,54</w:t>
            </w:r>
          </w:p>
        </w:tc>
      </w:tr>
      <w:tr w:rsidR="00E92CFE">
        <w:tc>
          <w:tcPr>
            <w:tcW w:w="624" w:type="dxa"/>
            <w:vMerge w:val="restart"/>
          </w:tcPr>
          <w:p w:rsidR="00E92CFE" w:rsidRDefault="00E92CFE">
            <w:pPr>
              <w:pStyle w:val="ConsPlusNormal"/>
              <w:jc w:val="center"/>
            </w:pPr>
            <w:r>
              <w:t>4.4.3</w:t>
            </w:r>
          </w:p>
        </w:tc>
        <w:tc>
          <w:tcPr>
            <w:tcW w:w="8419" w:type="dxa"/>
            <w:gridSpan w:val="4"/>
          </w:tcPr>
          <w:p w:rsidR="00E92CFE" w:rsidRDefault="00E92CFE">
            <w:pPr>
              <w:pStyle w:val="ConsPlusNormal"/>
            </w:pPr>
            <w:r>
              <w:t xml:space="preserve">Одноставочный тариф, дифференцированный по трем зонам суток </w:t>
            </w:r>
            <w:hyperlink w:anchor="P282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E92CFE">
        <w:tc>
          <w:tcPr>
            <w:tcW w:w="624" w:type="dxa"/>
            <w:vMerge/>
          </w:tcPr>
          <w:p w:rsidR="00E92CFE" w:rsidRDefault="00E92CFE"/>
        </w:tc>
        <w:tc>
          <w:tcPr>
            <w:tcW w:w="3969" w:type="dxa"/>
          </w:tcPr>
          <w:p w:rsidR="00E92CFE" w:rsidRDefault="00E92CFE">
            <w:pPr>
              <w:pStyle w:val="ConsPlusNormal"/>
            </w:pPr>
            <w:r>
              <w:t>Пиковая зона</w:t>
            </w:r>
          </w:p>
        </w:tc>
        <w:tc>
          <w:tcPr>
            <w:tcW w:w="1276" w:type="dxa"/>
          </w:tcPr>
          <w:p w:rsidR="00E92CFE" w:rsidRDefault="00E92CFE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3,04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3,14</w:t>
            </w:r>
          </w:p>
        </w:tc>
      </w:tr>
      <w:tr w:rsidR="00E92CFE">
        <w:tc>
          <w:tcPr>
            <w:tcW w:w="624" w:type="dxa"/>
            <w:vMerge/>
          </w:tcPr>
          <w:p w:rsidR="00E92CFE" w:rsidRDefault="00E92CFE"/>
        </w:tc>
        <w:tc>
          <w:tcPr>
            <w:tcW w:w="3969" w:type="dxa"/>
          </w:tcPr>
          <w:p w:rsidR="00E92CFE" w:rsidRDefault="00E92CFE">
            <w:pPr>
              <w:pStyle w:val="ConsPlusNormal"/>
            </w:pPr>
            <w:r>
              <w:t>Полупиковая зона</w:t>
            </w:r>
          </w:p>
        </w:tc>
        <w:tc>
          <w:tcPr>
            <w:tcW w:w="1276" w:type="dxa"/>
          </w:tcPr>
          <w:p w:rsidR="00E92CFE" w:rsidRDefault="00E92CFE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2,97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3,07</w:t>
            </w:r>
          </w:p>
        </w:tc>
      </w:tr>
      <w:tr w:rsidR="00E92CFE">
        <w:tc>
          <w:tcPr>
            <w:tcW w:w="624" w:type="dxa"/>
            <w:vMerge/>
          </w:tcPr>
          <w:p w:rsidR="00E92CFE" w:rsidRDefault="00E92CFE"/>
        </w:tc>
        <w:tc>
          <w:tcPr>
            <w:tcW w:w="3969" w:type="dxa"/>
          </w:tcPr>
          <w:p w:rsidR="00E92CFE" w:rsidRDefault="00E92CFE">
            <w:pPr>
              <w:pStyle w:val="ConsPlusNormal"/>
            </w:pPr>
            <w:r>
              <w:t>Ночная зона</w:t>
            </w:r>
          </w:p>
        </w:tc>
        <w:tc>
          <w:tcPr>
            <w:tcW w:w="1276" w:type="dxa"/>
          </w:tcPr>
          <w:p w:rsidR="00E92CFE" w:rsidRDefault="00E92CFE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1,49</w:t>
            </w:r>
          </w:p>
        </w:tc>
        <w:tc>
          <w:tcPr>
            <w:tcW w:w="1587" w:type="dxa"/>
          </w:tcPr>
          <w:p w:rsidR="00E92CFE" w:rsidRDefault="00E92CFE">
            <w:pPr>
              <w:pStyle w:val="ConsPlusNormal"/>
              <w:jc w:val="center"/>
            </w:pPr>
            <w:r>
              <w:t>1,54</w:t>
            </w:r>
          </w:p>
        </w:tc>
      </w:tr>
    </w:tbl>
    <w:p w:rsidR="00E92CFE" w:rsidRDefault="00E92CFE">
      <w:pPr>
        <w:pStyle w:val="ConsPlusNormal"/>
        <w:jc w:val="both"/>
      </w:pPr>
    </w:p>
    <w:p w:rsidR="00E92CFE" w:rsidRDefault="00E92CFE">
      <w:pPr>
        <w:pStyle w:val="ConsPlusNormal"/>
        <w:ind w:firstLine="540"/>
        <w:jc w:val="both"/>
      </w:pPr>
      <w:r>
        <w:lastRenderedPageBreak/>
        <w:t>--------------------------------</w:t>
      </w:r>
    </w:p>
    <w:p w:rsidR="00E92CFE" w:rsidRDefault="00E92CFE">
      <w:pPr>
        <w:pStyle w:val="ConsPlusNormal"/>
        <w:spacing w:before="220"/>
        <w:ind w:firstLine="540"/>
        <w:jc w:val="both"/>
      </w:pPr>
      <w:r>
        <w:t>Примечание:</w:t>
      </w:r>
    </w:p>
    <w:p w:rsidR="00E92CFE" w:rsidRDefault="00E92CFE">
      <w:pPr>
        <w:pStyle w:val="ConsPlusNormal"/>
        <w:spacing w:before="220"/>
        <w:ind w:firstLine="540"/>
        <w:jc w:val="both"/>
      </w:pPr>
      <w:bookmarkStart w:id="3" w:name="P282"/>
      <w:bookmarkEnd w:id="3"/>
      <w:r>
        <w:t>&lt;1&gt; Интервалы тарифных зон суток (по месяцам календарного года) утверждаются Федеральной антимонопольной службой России.</w:t>
      </w:r>
    </w:p>
    <w:p w:rsidR="00E92CFE" w:rsidRDefault="00E92CFE">
      <w:pPr>
        <w:pStyle w:val="ConsPlusNormal"/>
        <w:spacing w:before="220"/>
        <w:ind w:firstLine="540"/>
        <w:jc w:val="both"/>
      </w:pPr>
      <w:bookmarkStart w:id="4" w:name="P283"/>
      <w:bookmarkEnd w:id="4"/>
      <w:r>
        <w:t xml:space="preserve">&lt;2&gt; Тариф указан с применением понижающего коэффициента 0,7 в соответствии с </w:t>
      </w:r>
      <w:hyperlink r:id="rId9" w:history="1">
        <w:r>
          <w:rPr>
            <w:color w:val="0000FF"/>
          </w:rPr>
          <w:t>решением</w:t>
        </w:r>
      </w:hyperlink>
      <w:r>
        <w:t xml:space="preserve"> РЭК от N 189 от 29.06.2012.</w:t>
      </w:r>
    </w:p>
    <w:p w:rsidR="00E92CFE" w:rsidRDefault="00E92CFE">
      <w:pPr>
        <w:pStyle w:val="ConsPlusNormal"/>
        <w:spacing w:before="220"/>
        <w:ind w:firstLine="540"/>
        <w:jc w:val="both"/>
      </w:pPr>
      <w:bookmarkStart w:id="5" w:name="P284"/>
      <w:bookmarkEnd w:id="5"/>
      <w:r>
        <w:t xml:space="preserve">&lt;3&gt; Тариф указан с применением понижающего коэффициента 0,7 в соответствии с </w:t>
      </w:r>
      <w:hyperlink r:id="rId10" w:history="1">
        <w:r>
          <w:rPr>
            <w:color w:val="0000FF"/>
          </w:rPr>
          <w:t>решением</w:t>
        </w:r>
      </w:hyperlink>
      <w:r>
        <w:t xml:space="preserve"> РЭК N 129 от 12.11.2013.</w:t>
      </w:r>
    </w:p>
    <w:p w:rsidR="00E92CFE" w:rsidRDefault="00E92CFE">
      <w:pPr>
        <w:pStyle w:val="ConsPlusNormal"/>
        <w:spacing w:before="220"/>
        <w:ind w:firstLine="540"/>
        <w:jc w:val="both"/>
      </w:pPr>
      <w:bookmarkStart w:id="6" w:name="P285"/>
      <w:bookmarkEnd w:id="6"/>
      <w:r>
        <w:t>&lt;4&gt; При наличии соответствующих категорий потребителей, относящихся к населению или приравненным к нему категориям потребителей, у гарантирующего поставщика, энергосбытовой, энергоснабжающей организации, приобретающих электрическую энергию (мощность) в целях дальнейшей продажи населению и приравненным к нему категориям потребителей в объемах фактического потребления населения и приравненных к нему категорий потребителей и объемах электроэнергии, израсходованной на места общего 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деятельности.</w:t>
      </w:r>
    </w:p>
    <w:p w:rsidR="00E92CFE" w:rsidRDefault="00E92CFE">
      <w:pPr>
        <w:pStyle w:val="ConsPlusNormal"/>
        <w:jc w:val="both"/>
      </w:pPr>
    </w:p>
    <w:p w:rsidR="00E92CFE" w:rsidRDefault="00E92CFE">
      <w:pPr>
        <w:pStyle w:val="ConsPlusNormal"/>
        <w:jc w:val="right"/>
        <w:outlineLvl w:val="1"/>
      </w:pPr>
      <w:r>
        <w:t>Таблица 1</w:t>
      </w:r>
    </w:p>
    <w:p w:rsidR="00E92CFE" w:rsidRDefault="00E92CFE">
      <w:pPr>
        <w:pStyle w:val="ConsPlusNormal"/>
        <w:jc w:val="both"/>
      </w:pPr>
    </w:p>
    <w:p w:rsidR="00E92CFE" w:rsidRDefault="00E92CFE">
      <w:pPr>
        <w:pStyle w:val="ConsPlusTitle"/>
        <w:jc w:val="center"/>
      </w:pPr>
      <w:r>
        <w:t>Балансовые показатели планового объема полезного отпуска</w:t>
      </w:r>
    </w:p>
    <w:p w:rsidR="00E92CFE" w:rsidRDefault="00E92CFE">
      <w:pPr>
        <w:pStyle w:val="ConsPlusTitle"/>
        <w:jc w:val="center"/>
      </w:pPr>
      <w:r>
        <w:t>электрической энергии, используемые при расчете цен</w:t>
      </w:r>
    </w:p>
    <w:p w:rsidR="00E92CFE" w:rsidRDefault="00E92CFE">
      <w:pPr>
        <w:pStyle w:val="ConsPlusTitle"/>
        <w:jc w:val="center"/>
      </w:pPr>
      <w:r>
        <w:t>(тарифов) на электрическую энергию для населения</w:t>
      </w:r>
    </w:p>
    <w:p w:rsidR="00E92CFE" w:rsidRDefault="00E92CFE">
      <w:pPr>
        <w:pStyle w:val="ConsPlusTitle"/>
        <w:jc w:val="center"/>
      </w:pPr>
      <w:r>
        <w:t>и приравненных к нему категорий потребителей по Тюменской</w:t>
      </w:r>
    </w:p>
    <w:p w:rsidR="00E92CFE" w:rsidRDefault="00E92CFE">
      <w:pPr>
        <w:pStyle w:val="ConsPlusTitle"/>
        <w:jc w:val="center"/>
      </w:pPr>
      <w:r>
        <w:t>области, Ханты-Мансийскому автономному округу - Югре</w:t>
      </w:r>
    </w:p>
    <w:p w:rsidR="00E92CFE" w:rsidRDefault="00E92CFE">
      <w:pPr>
        <w:pStyle w:val="ConsPlusTitle"/>
        <w:jc w:val="center"/>
      </w:pPr>
      <w:r>
        <w:t>и Ямало-Ненецкому автономному округу</w:t>
      </w:r>
    </w:p>
    <w:p w:rsidR="00E92CFE" w:rsidRDefault="00E92CF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529"/>
        <w:gridCol w:w="1361"/>
        <w:gridCol w:w="1587"/>
      </w:tblGrid>
      <w:tr w:rsidR="00E92CFE">
        <w:tc>
          <w:tcPr>
            <w:tcW w:w="567" w:type="dxa"/>
            <w:vMerge w:val="restart"/>
          </w:tcPr>
          <w:p w:rsidR="00E92CFE" w:rsidRDefault="00E92CFE">
            <w:pPr>
              <w:pStyle w:val="ConsPlusNormal"/>
              <w:jc w:val="center"/>
            </w:pPr>
            <w:r>
              <w:t>N</w:t>
            </w:r>
          </w:p>
          <w:p w:rsidR="00E92CFE" w:rsidRDefault="00E92CFE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5529" w:type="dxa"/>
            <w:vMerge w:val="restart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Группы (подгруппы) потребителей</w:t>
            </w:r>
          </w:p>
        </w:tc>
        <w:tc>
          <w:tcPr>
            <w:tcW w:w="2948" w:type="dxa"/>
            <w:gridSpan w:val="2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Плановый объем полезного отпуска электрической энергии, млн. кВт.ч</w:t>
            </w:r>
          </w:p>
        </w:tc>
      </w:tr>
      <w:tr w:rsidR="00E92CFE">
        <w:tc>
          <w:tcPr>
            <w:tcW w:w="567" w:type="dxa"/>
            <w:vMerge/>
          </w:tcPr>
          <w:p w:rsidR="00E92CFE" w:rsidRDefault="00E92CFE"/>
        </w:tc>
        <w:tc>
          <w:tcPr>
            <w:tcW w:w="5529" w:type="dxa"/>
            <w:vMerge/>
          </w:tcPr>
          <w:p w:rsidR="00E92CFE" w:rsidRDefault="00E92CFE"/>
        </w:tc>
        <w:tc>
          <w:tcPr>
            <w:tcW w:w="1361" w:type="dxa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I полугодие</w:t>
            </w:r>
          </w:p>
        </w:tc>
        <w:tc>
          <w:tcPr>
            <w:tcW w:w="1587" w:type="dxa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II полугодие</w:t>
            </w:r>
          </w:p>
        </w:tc>
      </w:tr>
      <w:tr w:rsidR="00E92CFE">
        <w:tc>
          <w:tcPr>
            <w:tcW w:w="567" w:type="dxa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529" w:type="dxa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7" w:type="dxa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4</w:t>
            </w:r>
          </w:p>
        </w:tc>
      </w:tr>
      <w:tr w:rsidR="00E92CFE">
        <w:tc>
          <w:tcPr>
            <w:tcW w:w="567" w:type="dxa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529" w:type="dxa"/>
            <w:vAlign w:val="center"/>
          </w:tcPr>
          <w:p w:rsidR="00E92CFE" w:rsidRDefault="00E92CFE">
            <w:pPr>
              <w:pStyle w:val="ConsPlusNormal"/>
              <w:jc w:val="both"/>
            </w:pPr>
            <w:r>
              <w:t xml:space="preserve">Население и приравненные к ним, за исключением населения и потребителей, указанных в </w:t>
            </w:r>
            <w:hyperlink w:anchor="P313" w:history="1">
              <w:r>
                <w:rPr>
                  <w:color w:val="0000FF"/>
                </w:rPr>
                <w:t>пунктах 2</w:t>
              </w:r>
            </w:hyperlink>
            <w:r>
              <w:t xml:space="preserve"> и </w:t>
            </w:r>
            <w:hyperlink w:anchor="P320" w:history="1">
              <w:r>
                <w:rPr>
                  <w:color w:val="0000FF"/>
                </w:rPr>
                <w:t>3</w:t>
              </w:r>
            </w:hyperlink>
            <w:r>
              <w:t>:</w:t>
            </w:r>
          </w:p>
          <w:p w:rsidR="00E92CFE" w:rsidRDefault="00E92CFE">
            <w:pPr>
              <w:pStyle w:val="ConsPlusNormal"/>
              <w:jc w:val="both"/>
            </w:pPr>
            <w: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</w:t>
            </w:r>
            <w:r>
              <w:lastRenderedPageBreak/>
              <w:t>системы социального обслуживания населения,</w:t>
            </w:r>
          </w:p>
          <w:p w:rsidR="00E92CFE" w:rsidRDefault="00E92CFE">
            <w:pPr>
              <w:pStyle w:val="ConsPlusNormal"/>
              <w:jc w:val="both"/>
            </w:pPr>
            <w:r>
              <w:t>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E92CFE" w:rsidRDefault="00E92CFE">
            <w:pPr>
              <w:pStyle w:val="ConsPlusNormal"/>
              <w:jc w:val="both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  <w:tc>
          <w:tcPr>
            <w:tcW w:w="1361" w:type="dxa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lastRenderedPageBreak/>
              <w:t>754,69</w:t>
            </w:r>
          </w:p>
        </w:tc>
        <w:tc>
          <w:tcPr>
            <w:tcW w:w="1587" w:type="dxa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784,36</w:t>
            </w:r>
          </w:p>
        </w:tc>
      </w:tr>
      <w:tr w:rsidR="00E92CFE">
        <w:tc>
          <w:tcPr>
            <w:tcW w:w="567" w:type="dxa"/>
            <w:vAlign w:val="center"/>
          </w:tcPr>
          <w:p w:rsidR="00E92CFE" w:rsidRDefault="00E92CFE">
            <w:pPr>
              <w:pStyle w:val="ConsPlusNormal"/>
              <w:jc w:val="center"/>
            </w:pPr>
            <w:bookmarkStart w:id="7" w:name="P313"/>
            <w:bookmarkEnd w:id="7"/>
            <w:r>
              <w:t>2.</w:t>
            </w:r>
          </w:p>
        </w:tc>
        <w:tc>
          <w:tcPr>
            <w:tcW w:w="5529" w:type="dxa"/>
          </w:tcPr>
          <w:p w:rsidR="00E92CFE" w:rsidRDefault="00E92CFE">
            <w:pPr>
              <w:pStyle w:val="ConsPlusNormal"/>
              <w:jc w:val="both"/>
            </w:pPr>
            <w:r>
              <w:t>Население, проживающее в городских населенных пунктах в домах, оборудованных в установленном порядке стационарными электроплитами и (или) электроотопительными установками и приравненные к ним:</w:t>
            </w:r>
          </w:p>
          <w:p w:rsidR="00E92CFE" w:rsidRDefault="00E92CFE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</w:t>
            </w:r>
          </w:p>
          <w:p w:rsidR="00E92CFE" w:rsidRDefault="00E92CFE">
            <w:pPr>
              <w:pStyle w:val="ConsPlusNormal"/>
              <w:jc w:val="both"/>
            </w:pPr>
            <w:r>
              <w:t>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E92CFE" w:rsidRDefault="00E92CFE">
            <w:pPr>
              <w:pStyle w:val="ConsPlusNormal"/>
              <w:jc w:val="both"/>
            </w:pPr>
            <w:r>
              <w:t xml:space="preserve"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</w:t>
            </w:r>
            <w:r>
              <w:lastRenderedPageBreak/>
              <w:t>договору энергоснабжения по показаниям общего прибора учета электрической энергии.</w:t>
            </w:r>
          </w:p>
        </w:tc>
        <w:tc>
          <w:tcPr>
            <w:tcW w:w="1361" w:type="dxa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lastRenderedPageBreak/>
              <w:t>1 625,04</w:t>
            </w:r>
          </w:p>
        </w:tc>
        <w:tc>
          <w:tcPr>
            <w:tcW w:w="1587" w:type="dxa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1 482,36</w:t>
            </w:r>
          </w:p>
        </w:tc>
      </w:tr>
      <w:tr w:rsidR="00E92CFE">
        <w:tc>
          <w:tcPr>
            <w:tcW w:w="567" w:type="dxa"/>
            <w:vAlign w:val="center"/>
          </w:tcPr>
          <w:p w:rsidR="00E92CFE" w:rsidRDefault="00E92CFE">
            <w:pPr>
              <w:pStyle w:val="ConsPlusNormal"/>
              <w:jc w:val="center"/>
            </w:pPr>
            <w:bookmarkStart w:id="8" w:name="P320"/>
            <w:bookmarkEnd w:id="8"/>
            <w:r>
              <w:t>3.</w:t>
            </w:r>
          </w:p>
        </w:tc>
        <w:tc>
          <w:tcPr>
            <w:tcW w:w="5529" w:type="dxa"/>
          </w:tcPr>
          <w:p w:rsidR="00E92CFE" w:rsidRDefault="00E92CFE">
            <w:pPr>
              <w:pStyle w:val="ConsPlusNormal"/>
              <w:jc w:val="both"/>
            </w:pPr>
            <w:r>
              <w:t>Население, проживающее в сельских населенных пунктах и приравненные к ним:</w:t>
            </w:r>
          </w:p>
          <w:p w:rsidR="00E92CFE" w:rsidRDefault="00E92CFE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</w:t>
            </w:r>
          </w:p>
          <w:p w:rsidR="00E92CFE" w:rsidRDefault="00E92CFE">
            <w:pPr>
              <w:pStyle w:val="ConsPlusNormal"/>
              <w:jc w:val="both"/>
            </w:pPr>
            <w:r>
              <w:t>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E92CFE" w:rsidRDefault="00E92CFE">
            <w:pPr>
              <w:pStyle w:val="ConsPlusNormal"/>
              <w:jc w:val="both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  <w:tc>
          <w:tcPr>
            <w:tcW w:w="1361" w:type="dxa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631,15</w:t>
            </w:r>
          </w:p>
        </w:tc>
        <w:tc>
          <w:tcPr>
            <w:tcW w:w="1587" w:type="dxa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496,95</w:t>
            </w:r>
          </w:p>
        </w:tc>
      </w:tr>
      <w:tr w:rsidR="00E92CFE">
        <w:tc>
          <w:tcPr>
            <w:tcW w:w="567" w:type="dxa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529" w:type="dxa"/>
          </w:tcPr>
          <w:p w:rsidR="00E92CFE" w:rsidRDefault="00E92CFE">
            <w:pPr>
              <w:pStyle w:val="ConsPlusNormal"/>
              <w:jc w:val="both"/>
            </w:pPr>
            <w:r>
              <w:t>Потребители, приравненные к населению:</w:t>
            </w:r>
          </w:p>
        </w:tc>
        <w:tc>
          <w:tcPr>
            <w:tcW w:w="1361" w:type="dxa"/>
            <w:vMerge w:val="restart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246,32</w:t>
            </w:r>
          </w:p>
        </w:tc>
        <w:tc>
          <w:tcPr>
            <w:tcW w:w="1587" w:type="dxa"/>
            <w:vMerge w:val="restart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310,12</w:t>
            </w:r>
          </w:p>
        </w:tc>
      </w:tr>
      <w:tr w:rsidR="00E92CFE">
        <w:tc>
          <w:tcPr>
            <w:tcW w:w="567" w:type="dxa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5529" w:type="dxa"/>
          </w:tcPr>
          <w:p w:rsidR="00E92CFE" w:rsidRDefault="00E92CFE">
            <w:pPr>
              <w:pStyle w:val="ConsPlusNormal"/>
              <w:jc w:val="both"/>
            </w:pPr>
            <w:r>
              <w:t>Садоводческие некоммерческие товарищества и огороднические некоммерческие товарищества</w:t>
            </w:r>
          </w:p>
        </w:tc>
        <w:tc>
          <w:tcPr>
            <w:tcW w:w="1361" w:type="dxa"/>
            <w:vMerge/>
          </w:tcPr>
          <w:p w:rsidR="00E92CFE" w:rsidRDefault="00E92CFE"/>
        </w:tc>
        <w:tc>
          <w:tcPr>
            <w:tcW w:w="1587" w:type="dxa"/>
            <w:vMerge/>
          </w:tcPr>
          <w:p w:rsidR="00E92CFE" w:rsidRDefault="00E92CFE"/>
        </w:tc>
      </w:tr>
      <w:tr w:rsidR="00E92CFE">
        <w:tc>
          <w:tcPr>
            <w:tcW w:w="567" w:type="dxa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5529" w:type="dxa"/>
          </w:tcPr>
          <w:p w:rsidR="00E92CFE" w:rsidRDefault="00E92CFE">
            <w:pPr>
              <w:pStyle w:val="ConsPlusNormal"/>
              <w:jc w:val="both"/>
            </w:pPr>
            <w: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</w:t>
            </w:r>
          </w:p>
        </w:tc>
        <w:tc>
          <w:tcPr>
            <w:tcW w:w="1361" w:type="dxa"/>
            <w:vMerge/>
          </w:tcPr>
          <w:p w:rsidR="00E92CFE" w:rsidRDefault="00E92CFE"/>
        </w:tc>
        <w:tc>
          <w:tcPr>
            <w:tcW w:w="1587" w:type="dxa"/>
            <w:vMerge/>
          </w:tcPr>
          <w:p w:rsidR="00E92CFE" w:rsidRDefault="00E92CFE"/>
        </w:tc>
      </w:tr>
      <w:tr w:rsidR="00E92CFE">
        <w:tc>
          <w:tcPr>
            <w:tcW w:w="567" w:type="dxa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5529" w:type="dxa"/>
          </w:tcPr>
          <w:p w:rsidR="00E92CFE" w:rsidRDefault="00E92CFE">
            <w:pPr>
              <w:pStyle w:val="ConsPlusNormal"/>
              <w:jc w:val="both"/>
            </w:pPr>
            <w:r>
              <w:t>Содержащиеся за счет прихожан религиозные организации</w:t>
            </w:r>
          </w:p>
        </w:tc>
        <w:tc>
          <w:tcPr>
            <w:tcW w:w="1361" w:type="dxa"/>
            <w:vMerge/>
          </w:tcPr>
          <w:p w:rsidR="00E92CFE" w:rsidRDefault="00E92CFE"/>
        </w:tc>
        <w:tc>
          <w:tcPr>
            <w:tcW w:w="1587" w:type="dxa"/>
            <w:vMerge/>
          </w:tcPr>
          <w:p w:rsidR="00E92CFE" w:rsidRDefault="00E92CFE"/>
        </w:tc>
      </w:tr>
      <w:tr w:rsidR="00E92CFE">
        <w:tc>
          <w:tcPr>
            <w:tcW w:w="567" w:type="dxa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4.4</w:t>
            </w:r>
          </w:p>
        </w:tc>
        <w:tc>
          <w:tcPr>
            <w:tcW w:w="5529" w:type="dxa"/>
          </w:tcPr>
          <w:p w:rsidR="00E92CFE" w:rsidRDefault="00E92CFE">
            <w:pPr>
              <w:pStyle w:val="ConsPlusNormal"/>
              <w:jc w:val="both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</w:t>
            </w:r>
            <w:r>
              <w:lastRenderedPageBreak/>
              <w:t>продажи населению и приравненным к нему категориям потребителей в объемах фактического потребления населения и приравненных к нему категорий потребителей и объемах электроэнергии, израсходованной на места общего 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</w:t>
            </w:r>
          </w:p>
        </w:tc>
        <w:tc>
          <w:tcPr>
            <w:tcW w:w="1361" w:type="dxa"/>
            <w:vMerge/>
          </w:tcPr>
          <w:p w:rsidR="00E92CFE" w:rsidRDefault="00E92CFE"/>
        </w:tc>
        <w:tc>
          <w:tcPr>
            <w:tcW w:w="1587" w:type="dxa"/>
            <w:vMerge/>
          </w:tcPr>
          <w:p w:rsidR="00E92CFE" w:rsidRDefault="00E92CFE"/>
        </w:tc>
      </w:tr>
      <w:tr w:rsidR="00E92CFE">
        <w:tc>
          <w:tcPr>
            <w:tcW w:w="567" w:type="dxa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4.5</w:t>
            </w:r>
          </w:p>
        </w:tc>
        <w:tc>
          <w:tcPr>
            <w:tcW w:w="5529" w:type="dxa"/>
          </w:tcPr>
          <w:p w:rsidR="00E92CFE" w:rsidRDefault="00E92CFE">
            <w:pPr>
              <w:pStyle w:val="ConsPlusNormal"/>
              <w:jc w:val="both"/>
            </w:pPr>
            <w: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сараи).</w:t>
            </w:r>
          </w:p>
          <w:p w:rsidR="00E92CFE" w:rsidRDefault="00E92CFE">
            <w:pPr>
              <w:pStyle w:val="ConsPlusNormal"/>
              <w:jc w:val="both"/>
            </w:pPr>
            <w:r>
              <w:t>Некоммерческие объединения граждан (гаражно-строительные, гаражные кооперативы) и граждане, владеющие отдельно стоящими гаражами,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</w:t>
            </w:r>
          </w:p>
        </w:tc>
        <w:tc>
          <w:tcPr>
            <w:tcW w:w="1361" w:type="dxa"/>
            <w:vMerge/>
          </w:tcPr>
          <w:p w:rsidR="00E92CFE" w:rsidRDefault="00E92CFE"/>
        </w:tc>
        <w:tc>
          <w:tcPr>
            <w:tcW w:w="1587" w:type="dxa"/>
            <w:vMerge/>
          </w:tcPr>
          <w:p w:rsidR="00E92CFE" w:rsidRDefault="00E92CFE"/>
        </w:tc>
      </w:tr>
    </w:tbl>
    <w:p w:rsidR="00E92CFE" w:rsidRDefault="00E92CFE">
      <w:pPr>
        <w:pStyle w:val="ConsPlusNormal"/>
        <w:jc w:val="both"/>
      </w:pPr>
    </w:p>
    <w:p w:rsidR="00E92CFE" w:rsidRDefault="00E92CFE">
      <w:pPr>
        <w:pStyle w:val="ConsPlusNormal"/>
        <w:jc w:val="right"/>
        <w:outlineLvl w:val="1"/>
      </w:pPr>
      <w:r>
        <w:t>Таблица 2</w:t>
      </w:r>
    </w:p>
    <w:p w:rsidR="00E92CFE" w:rsidRDefault="00E92CF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529"/>
        <w:gridCol w:w="1361"/>
        <w:gridCol w:w="1587"/>
      </w:tblGrid>
      <w:tr w:rsidR="00E92CFE">
        <w:tc>
          <w:tcPr>
            <w:tcW w:w="567" w:type="dxa"/>
            <w:vMerge w:val="restart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N</w:t>
            </w:r>
          </w:p>
          <w:p w:rsidR="00E92CFE" w:rsidRDefault="00E92CFE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5529" w:type="dxa"/>
            <w:vMerge w:val="restart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Показатель</w:t>
            </w:r>
          </w:p>
        </w:tc>
        <w:tc>
          <w:tcPr>
            <w:tcW w:w="2948" w:type="dxa"/>
            <w:gridSpan w:val="2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Примененный понижающий коэффициент при установлении цен (тарифов) на электрическую энергию (мощность)</w:t>
            </w:r>
          </w:p>
        </w:tc>
      </w:tr>
      <w:tr w:rsidR="00E92CFE">
        <w:tc>
          <w:tcPr>
            <w:tcW w:w="567" w:type="dxa"/>
            <w:vMerge/>
          </w:tcPr>
          <w:p w:rsidR="00E92CFE" w:rsidRDefault="00E92CFE"/>
        </w:tc>
        <w:tc>
          <w:tcPr>
            <w:tcW w:w="5529" w:type="dxa"/>
            <w:vMerge/>
          </w:tcPr>
          <w:p w:rsidR="00E92CFE" w:rsidRDefault="00E92CFE"/>
        </w:tc>
        <w:tc>
          <w:tcPr>
            <w:tcW w:w="1361" w:type="dxa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I полугодие</w:t>
            </w:r>
          </w:p>
        </w:tc>
        <w:tc>
          <w:tcPr>
            <w:tcW w:w="1587" w:type="dxa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II полугодие</w:t>
            </w:r>
          </w:p>
        </w:tc>
      </w:tr>
      <w:tr w:rsidR="00E92CFE">
        <w:tc>
          <w:tcPr>
            <w:tcW w:w="567" w:type="dxa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529" w:type="dxa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7" w:type="dxa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4</w:t>
            </w:r>
          </w:p>
        </w:tc>
      </w:tr>
      <w:tr w:rsidR="00E92CFE">
        <w:tc>
          <w:tcPr>
            <w:tcW w:w="567" w:type="dxa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529" w:type="dxa"/>
            <w:vAlign w:val="center"/>
          </w:tcPr>
          <w:p w:rsidR="00E92CFE" w:rsidRDefault="00E92CFE">
            <w:pPr>
              <w:pStyle w:val="ConsPlusNormal"/>
              <w:jc w:val="both"/>
            </w:pPr>
            <w:r>
              <w:t>Население, проживающее в городских населенных пунктах в домах, оборудованных в установленном порядке стационарными электроплитами и (или) электроотопительными установками и приравненные к ним:</w:t>
            </w:r>
          </w:p>
          <w:p w:rsidR="00E92CFE" w:rsidRDefault="00E92CFE">
            <w:pPr>
              <w:pStyle w:val="ConsPlusNormal"/>
              <w:jc w:val="both"/>
            </w:pPr>
            <w: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</w:t>
            </w:r>
            <w:r>
              <w:lastRenderedPageBreak/>
              <w:t>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E92CFE" w:rsidRDefault="00E92CFE">
            <w:pPr>
              <w:pStyle w:val="ConsPlusNormal"/>
              <w:jc w:val="both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  <w:p w:rsidR="00E92CFE" w:rsidRDefault="00E92CFE">
            <w:pPr>
              <w:pStyle w:val="ConsPlusNormal"/>
              <w:jc w:val="both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данном пункте </w:t>
            </w:r>
            <w:hyperlink w:anchor="P388" w:history="1">
              <w:r>
                <w:rPr>
                  <w:color w:val="0000FF"/>
                </w:rPr>
                <w:t>&lt;1&gt;</w:t>
              </w:r>
            </w:hyperlink>
            <w:r>
              <w:t>.</w:t>
            </w:r>
          </w:p>
        </w:tc>
        <w:tc>
          <w:tcPr>
            <w:tcW w:w="1361" w:type="dxa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lastRenderedPageBreak/>
              <w:t>0,7</w:t>
            </w:r>
          </w:p>
        </w:tc>
        <w:tc>
          <w:tcPr>
            <w:tcW w:w="1587" w:type="dxa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0,7</w:t>
            </w:r>
          </w:p>
        </w:tc>
      </w:tr>
      <w:tr w:rsidR="00E92CFE">
        <w:tc>
          <w:tcPr>
            <w:tcW w:w="567" w:type="dxa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529" w:type="dxa"/>
            <w:vAlign w:val="center"/>
          </w:tcPr>
          <w:p w:rsidR="00E92CFE" w:rsidRDefault="00E92CFE">
            <w:pPr>
              <w:pStyle w:val="ConsPlusNormal"/>
              <w:jc w:val="both"/>
            </w:pPr>
            <w:r>
              <w:t>Население, проживающее в сельских населенных пунктах и приравненные к ним:</w:t>
            </w:r>
          </w:p>
          <w:p w:rsidR="00E92CFE" w:rsidRDefault="00E92CFE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E92CFE" w:rsidRDefault="00E92CFE">
            <w:pPr>
              <w:pStyle w:val="ConsPlusNormal"/>
              <w:jc w:val="both"/>
            </w:pPr>
            <w:r>
              <w:t xml:space="preserve"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</w:t>
            </w:r>
            <w:r>
              <w:lastRenderedPageBreak/>
              <w:t>договору энергоснабжения по показаниям общего прибора учета электрической энергии.</w:t>
            </w:r>
          </w:p>
          <w:p w:rsidR="00E92CFE" w:rsidRDefault="00E92CFE">
            <w:pPr>
              <w:pStyle w:val="ConsPlusNormal"/>
              <w:jc w:val="both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данном пункте </w:t>
            </w:r>
            <w:hyperlink w:anchor="P388" w:history="1">
              <w:r>
                <w:rPr>
                  <w:color w:val="0000FF"/>
                </w:rPr>
                <w:t>&lt;1&gt;</w:t>
              </w:r>
            </w:hyperlink>
            <w:r>
              <w:t>.</w:t>
            </w:r>
          </w:p>
        </w:tc>
        <w:tc>
          <w:tcPr>
            <w:tcW w:w="1361" w:type="dxa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lastRenderedPageBreak/>
              <w:t>0,7</w:t>
            </w:r>
          </w:p>
        </w:tc>
        <w:tc>
          <w:tcPr>
            <w:tcW w:w="1587" w:type="dxa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0,7</w:t>
            </w:r>
          </w:p>
        </w:tc>
      </w:tr>
      <w:tr w:rsidR="00E92CFE">
        <w:tc>
          <w:tcPr>
            <w:tcW w:w="567" w:type="dxa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529" w:type="dxa"/>
            <w:vAlign w:val="center"/>
          </w:tcPr>
          <w:p w:rsidR="00E92CFE" w:rsidRDefault="00E92CFE">
            <w:pPr>
              <w:pStyle w:val="ConsPlusNormal"/>
              <w:jc w:val="both"/>
            </w:pPr>
            <w:r>
              <w:t>Потребители, приравненные к населению:</w:t>
            </w:r>
          </w:p>
        </w:tc>
        <w:tc>
          <w:tcPr>
            <w:tcW w:w="1361" w:type="dxa"/>
            <w:vMerge w:val="restart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87" w:type="dxa"/>
            <w:vMerge w:val="restart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1</w:t>
            </w:r>
          </w:p>
        </w:tc>
      </w:tr>
      <w:tr w:rsidR="00E92CFE">
        <w:tc>
          <w:tcPr>
            <w:tcW w:w="567" w:type="dxa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5529" w:type="dxa"/>
            <w:vAlign w:val="center"/>
          </w:tcPr>
          <w:p w:rsidR="00E92CFE" w:rsidRDefault="00E92CFE">
            <w:pPr>
              <w:pStyle w:val="ConsPlusNormal"/>
              <w:jc w:val="both"/>
            </w:pPr>
            <w:r>
              <w:t>Садоводческие некоммерческие товарищества и огороднические некоммерческие товарищества.</w:t>
            </w:r>
          </w:p>
          <w:p w:rsidR="00E92CFE" w:rsidRDefault="00E92CFE">
            <w:pPr>
              <w:pStyle w:val="ConsPlusNormal"/>
              <w:jc w:val="both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 </w:t>
            </w:r>
            <w:hyperlink w:anchor="P388" w:history="1">
              <w:r>
                <w:rPr>
                  <w:color w:val="0000FF"/>
                </w:rPr>
                <w:t>&lt;1&gt;</w:t>
              </w:r>
            </w:hyperlink>
            <w:r>
              <w:t>.</w:t>
            </w:r>
          </w:p>
        </w:tc>
        <w:tc>
          <w:tcPr>
            <w:tcW w:w="1361" w:type="dxa"/>
            <w:vMerge/>
          </w:tcPr>
          <w:p w:rsidR="00E92CFE" w:rsidRDefault="00E92CFE"/>
        </w:tc>
        <w:tc>
          <w:tcPr>
            <w:tcW w:w="1587" w:type="dxa"/>
            <w:vMerge/>
          </w:tcPr>
          <w:p w:rsidR="00E92CFE" w:rsidRDefault="00E92CFE"/>
        </w:tc>
      </w:tr>
      <w:tr w:rsidR="00E92CFE">
        <w:tc>
          <w:tcPr>
            <w:tcW w:w="567" w:type="dxa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5529" w:type="dxa"/>
            <w:vAlign w:val="center"/>
          </w:tcPr>
          <w:p w:rsidR="00E92CFE" w:rsidRDefault="00E92CFE">
            <w:pPr>
              <w:pStyle w:val="ConsPlusNormal"/>
              <w:jc w:val="both"/>
            </w:pPr>
            <w: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помещений.</w:t>
            </w:r>
          </w:p>
          <w:p w:rsidR="00E92CFE" w:rsidRDefault="00E92CFE">
            <w:pPr>
              <w:pStyle w:val="ConsPlusNormal"/>
              <w:jc w:val="both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 </w:t>
            </w:r>
            <w:hyperlink w:anchor="P388" w:history="1">
              <w:r>
                <w:rPr>
                  <w:color w:val="0000FF"/>
                </w:rPr>
                <w:t>&lt;1&gt;</w:t>
              </w:r>
            </w:hyperlink>
            <w:r>
              <w:t>.</w:t>
            </w:r>
          </w:p>
        </w:tc>
        <w:tc>
          <w:tcPr>
            <w:tcW w:w="1361" w:type="dxa"/>
            <w:vMerge/>
          </w:tcPr>
          <w:p w:rsidR="00E92CFE" w:rsidRDefault="00E92CFE"/>
        </w:tc>
        <w:tc>
          <w:tcPr>
            <w:tcW w:w="1587" w:type="dxa"/>
            <w:vMerge/>
          </w:tcPr>
          <w:p w:rsidR="00E92CFE" w:rsidRDefault="00E92CFE"/>
        </w:tc>
      </w:tr>
      <w:tr w:rsidR="00E92CFE">
        <w:tc>
          <w:tcPr>
            <w:tcW w:w="567" w:type="dxa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5529" w:type="dxa"/>
            <w:vAlign w:val="center"/>
          </w:tcPr>
          <w:p w:rsidR="00E92CFE" w:rsidRDefault="00E92CFE">
            <w:pPr>
              <w:pStyle w:val="ConsPlusNormal"/>
              <w:jc w:val="both"/>
            </w:pPr>
            <w:r>
              <w:t>Содержащиеся за счет прихожан религиозные организации</w:t>
            </w:r>
          </w:p>
          <w:p w:rsidR="00E92CFE" w:rsidRDefault="00E92CFE">
            <w:pPr>
              <w:pStyle w:val="ConsPlusNormal"/>
              <w:jc w:val="both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 </w:t>
            </w:r>
            <w:hyperlink w:anchor="P388" w:history="1">
              <w:r>
                <w:rPr>
                  <w:color w:val="0000FF"/>
                </w:rPr>
                <w:t>&lt;1&gt;</w:t>
              </w:r>
            </w:hyperlink>
            <w:r>
              <w:t>.</w:t>
            </w:r>
          </w:p>
        </w:tc>
        <w:tc>
          <w:tcPr>
            <w:tcW w:w="1361" w:type="dxa"/>
            <w:vMerge/>
          </w:tcPr>
          <w:p w:rsidR="00E92CFE" w:rsidRDefault="00E92CFE"/>
        </w:tc>
        <w:tc>
          <w:tcPr>
            <w:tcW w:w="1587" w:type="dxa"/>
            <w:vMerge/>
          </w:tcPr>
          <w:p w:rsidR="00E92CFE" w:rsidRDefault="00E92CFE"/>
        </w:tc>
      </w:tr>
      <w:tr w:rsidR="00E92CFE">
        <w:tc>
          <w:tcPr>
            <w:tcW w:w="567" w:type="dxa"/>
            <w:vAlign w:val="center"/>
          </w:tcPr>
          <w:p w:rsidR="00E92CFE" w:rsidRDefault="00E92CFE">
            <w:pPr>
              <w:pStyle w:val="ConsPlusNormal"/>
              <w:jc w:val="center"/>
            </w:pPr>
            <w:r>
              <w:t>3.4</w:t>
            </w:r>
          </w:p>
        </w:tc>
        <w:tc>
          <w:tcPr>
            <w:tcW w:w="5529" w:type="dxa"/>
            <w:vAlign w:val="center"/>
          </w:tcPr>
          <w:p w:rsidR="00E92CFE" w:rsidRDefault="00E92CFE">
            <w:pPr>
              <w:pStyle w:val="ConsPlusNormal"/>
              <w:jc w:val="both"/>
            </w:pPr>
            <w: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</w:t>
            </w:r>
          </w:p>
          <w:p w:rsidR="00E92CFE" w:rsidRDefault="00E92CFE">
            <w:pPr>
              <w:pStyle w:val="ConsPlusNormal"/>
              <w:jc w:val="both"/>
            </w:pPr>
            <w:r>
              <w:t>Некоммерческие объединения граждан (гаражно-строительные, гаражные кооперативы) и граждане, владеющие отдельно стоящими гаражами,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деятельности.</w:t>
            </w:r>
          </w:p>
          <w:p w:rsidR="00E92CFE" w:rsidRDefault="00E92CFE">
            <w:pPr>
              <w:pStyle w:val="ConsPlusNormal"/>
              <w:jc w:val="both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 </w:t>
            </w:r>
            <w:hyperlink w:anchor="P388" w:history="1">
              <w:r>
                <w:rPr>
                  <w:color w:val="0000FF"/>
                </w:rPr>
                <w:t>&lt;1&gt;</w:t>
              </w:r>
            </w:hyperlink>
            <w:r>
              <w:t>.</w:t>
            </w:r>
          </w:p>
        </w:tc>
        <w:tc>
          <w:tcPr>
            <w:tcW w:w="1361" w:type="dxa"/>
            <w:vMerge/>
          </w:tcPr>
          <w:p w:rsidR="00E92CFE" w:rsidRDefault="00E92CFE"/>
        </w:tc>
        <w:tc>
          <w:tcPr>
            <w:tcW w:w="1587" w:type="dxa"/>
            <w:vMerge/>
          </w:tcPr>
          <w:p w:rsidR="00E92CFE" w:rsidRDefault="00E92CFE"/>
        </w:tc>
      </w:tr>
    </w:tbl>
    <w:p w:rsidR="00E92CFE" w:rsidRDefault="00E92CFE">
      <w:pPr>
        <w:pStyle w:val="ConsPlusNormal"/>
        <w:jc w:val="both"/>
      </w:pPr>
    </w:p>
    <w:p w:rsidR="00E92CFE" w:rsidRDefault="00E92CFE">
      <w:pPr>
        <w:pStyle w:val="ConsPlusNormal"/>
        <w:ind w:firstLine="540"/>
        <w:jc w:val="both"/>
      </w:pPr>
      <w:r>
        <w:lastRenderedPageBreak/>
        <w:t>--------------------------------</w:t>
      </w:r>
    </w:p>
    <w:p w:rsidR="00E92CFE" w:rsidRDefault="00E92CFE">
      <w:pPr>
        <w:pStyle w:val="ConsPlusNormal"/>
        <w:spacing w:before="220"/>
        <w:ind w:firstLine="540"/>
        <w:jc w:val="both"/>
      </w:pPr>
      <w:bookmarkStart w:id="9" w:name="P388"/>
      <w:bookmarkEnd w:id="9"/>
      <w:r>
        <w:t>&lt;1&gt; При наличии соответствующих категорий потребителей, относящихся к населению или приравненных к нему категорий потребителей, у гарантирующего поставщика, энергосбытовой, энергоснабжающей организации, приобретающих электрическую энергию (мощность) в целях дальнейшей продажи населению и приравненным к нему категориям потребителей в объемах фактического потребления населения и приравненных к нему категорий потребителей и объемах электроэнергии, израсходованной на места общего 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деятельности.</w:t>
      </w:r>
    </w:p>
    <w:p w:rsidR="00E92CFE" w:rsidRDefault="00E92CFE">
      <w:pPr>
        <w:pStyle w:val="ConsPlusNormal"/>
        <w:jc w:val="both"/>
      </w:pPr>
    </w:p>
    <w:p w:rsidR="00E92CFE" w:rsidRDefault="00E92CFE">
      <w:pPr>
        <w:pStyle w:val="ConsPlusNormal"/>
        <w:jc w:val="both"/>
      </w:pPr>
    </w:p>
    <w:p w:rsidR="00E92CFE" w:rsidRDefault="00E92CF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D1B75" w:rsidRDefault="000D1B75">
      <w:bookmarkStart w:id="10" w:name="_GoBack"/>
      <w:bookmarkEnd w:id="10"/>
    </w:p>
    <w:sectPr w:rsidR="000D1B75" w:rsidSect="004922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CFE"/>
    <w:rsid w:val="000D1B75"/>
    <w:rsid w:val="00E80944"/>
    <w:rsid w:val="00E9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F96C21-1FCB-4582-B422-4B3442BBA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2C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92C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92C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73FEAEBCC3B62C36DC4F50BD2D81D3550CE186477B5394A3E846A1830F36E187D0DD3B9CC14CC493F56C562CB5j3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873FEAEBCC3B62C36DC4F50BD2D81D3550CE086457E5394A3E846A1830F36E195D085379CC552C49EE03A076A07D8E06E3B7045DA123FD9BDj4K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873FEAEBCC3B62C36DC4F50BD2D81D3550DEE8B42745394A3E846A1830F36E195D0853598CC5990C7AF3B5B2E56CBE06F3B7240C6B1j1K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7873FEAEBCC3B62C36DC4F50BD2D81D3550FEE8A4F785394A3E846A1830F36E195D085379CC453C493E03A076A07D8E06E3B7045DA123FD9BDj4K" TargetMode="External"/><Relationship Id="rId10" Type="http://schemas.openxmlformats.org/officeDocument/2006/relationships/hyperlink" Target="consultantplus://offline/ref=7873FEAEBCC3B62C36DC515DAB41D6DC5001B88F4E795BCBF8B71DFCD4063CB6D29FDC67D8905FC492F56E533050D5E2B6jBK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7873FEAEBCC3B62C36DC515DAB41D6DC5001B88F4F7C5AC7F7B71DFCD4063CB6D29FDC67D8905FC492F56E533050D5E2B6jB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4117</Words>
  <Characters>23472</Characters>
  <Application>Microsoft Office Word</Application>
  <DocSecurity>0</DocSecurity>
  <Lines>195</Lines>
  <Paragraphs>55</Paragraphs>
  <ScaleCrop>false</ScaleCrop>
  <Company/>
  <LinksUpToDate>false</LinksUpToDate>
  <CharactersWithSpaces>27534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Титова А.И.</dc:creator>
  <cp:keywords/>
  <dc:description/>
  <cp:lastModifiedBy>Титова А.И.</cp:lastModifiedBy>
  <cp:revision>1</cp:revision>
  <dcterms:created xsi:type="dcterms:W3CDTF">2021-05-04T10:35:00Z</dcterms:created>
  <dcterms:modified xsi:type="dcterms:W3CDTF">2021-05-04T10:35:00Z</dcterms:modified>
</cp:coreProperties>
</file>