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132" w:rsidRPr="00C92132" w:rsidRDefault="00C92132" w:rsidP="00C92132">
      <w:pPr>
        <w:spacing w:before="100" w:beforeAutospacing="1" w:after="375" w:line="270" w:lineRule="atLeast"/>
        <w:jc w:val="center"/>
        <w:outlineLvl w:val="0"/>
        <w:rPr>
          <w:rFonts w:ascii="Open Sans" w:eastAsia="Times New Roman" w:hAnsi="Open Sans" w:cs="Times New Roman"/>
          <w:b/>
          <w:bCs/>
          <w:caps/>
          <w:color w:val="333333"/>
          <w:kern w:val="36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b/>
          <w:bCs/>
          <w:caps/>
          <w:color w:val="333333"/>
          <w:kern w:val="36"/>
          <w:sz w:val="21"/>
          <w:szCs w:val="21"/>
          <w:lang w:eastAsia="ru-RU"/>
        </w:rPr>
        <w:t>Электронизация торгов - шаг к цифровой экономике</w:t>
      </w:r>
    </w:p>
    <w:p w:rsidR="00C92132" w:rsidRPr="00C92132" w:rsidRDefault="00C92132" w:rsidP="00C92132">
      <w:pPr>
        <w:spacing w:after="0" w:line="270" w:lineRule="atLeast"/>
        <w:jc w:val="center"/>
        <w:rPr>
          <w:rFonts w:ascii="Open Sans" w:eastAsia="Times New Roman" w:hAnsi="Open Sans" w:cs="Times New Roman"/>
          <w:b/>
          <w:bCs/>
          <w:vanish/>
          <w:color w:val="333333"/>
          <w:sz w:val="48"/>
          <w:szCs w:val="48"/>
          <w:lang w:eastAsia="ru-RU"/>
        </w:rPr>
      </w:pPr>
      <w:r w:rsidRPr="00C92132">
        <w:rPr>
          <w:rFonts w:ascii="Open Sans" w:eastAsia="Times New Roman" w:hAnsi="Open Sans" w:cs="Times New Roman"/>
          <w:b/>
          <w:bCs/>
          <w:vanish/>
          <w:color w:val="333333"/>
          <w:sz w:val="48"/>
          <w:szCs w:val="48"/>
          <w:lang w:eastAsia="ru-RU"/>
        </w:rPr>
        <w:t>Электронизация торгов - шаг к цифровой экономике</w:t>
      </w:r>
      <w:bookmarkStart w:id="0" w:name="_GoBack"/>
      <w:bookmarkEnd w:id="0"/>
    </w:p>
    <w:p w:rsidR="00C92132" w:rsidRPr="00C92132" w:rsidRDefault="00C92132" w:rsidP="00C92132">
      <w:pPr>
        <w:spacing w:after="0" w:line="300" w:lineRule="atLeast"/>
        <w:rPr>
          <w:rFonts w:ascii="Open Sans" w:eastAsia="Times New Roman" w:hAnsi="Open Sans" w:cs="Times New Roman"/>
          <w:color w:val="999999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999999"/>
          <w:sz w:val="21"/>
          <w:szCs w:val="21"/>
          <w:lang w:eastAsia="ru-RU"/>
        </w:rPr>
        <w:t>27 октября 2018, 12:18</w:t>
      </w:r>
    </w:p>
    <w:p w:rsidR="00C92132" w:rsidRPr="00C92132" w:rsidRDefault="00C92132" w:rsidP="00C92132">
      <w:pPr>
        <w:spacing w:after="0" w:line="270" w:lineRule="atLeast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667500" cy="3619500"/>
            <wp:effectExtent l="0" t="0" r="0" b="0"/>
            <wp:docPr id="20" name="Рисунок 20" descr="%d0%b7%d0%b0%d0%ba%d1%83%d0%bf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b7%d0%b0%d0%ba%d1%83%d0%bf%d0%ba%d0%b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Одной из тем X ежегодной конференции «Антимонопольное регулирование в России», организованной газетой «Ведомости», стали государственные и корпоративные закупки.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Участники мероприятия обсудили изменения в соответствующем специализированном законодательстве, а также поиск баланса частного и публичного интереса в новых правовых реалиях*.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10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 xml:space="preserve">«Первым шагом к </w:t>
      </w:r>
      <w:proofErr w:type="spellStart"/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>цифровизации</w:t>
      </w:r>
      <w:proofErr w:type="spellEnd"/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 xml:space="preserve"> торгов стала их электронизация. Состоялся отбор электронных площадок, перечень которых утверждён актом Правительства РФ. Также с 1 октября этого года началась работа по новой финансовой модели. Она предполагает внесение участниками закупок денежных средств, предназначенных для обеспечения заявок, на специальные счета, открытые в уполномоченных банках», - рассказал заместитель начальника Управления контроля размещения государственного заказа ФАС России Роман Семенов.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Как заметил представитель антимонопольного ведомства, за три недели функционирования новой модели электронных закупок, порядка 100 тысяч поставщиков уже открыли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спецсчета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 в уполномоченных банках.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19" name="Рисунок 19" descr="11054 5q8a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54 5q8a6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8" name="Рисунок 18" descr="11055 5q8a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55 5q8a6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7" name="Рисунок 17" descr="11056 5q8a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056 5q8a6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16" name="Рисунок 16" descr="11057 5q8a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057 5q8a6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5" name="Рисунок 15" descr="11058 5q8a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058 5q8a6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4" name="Рисунок 14" descr="11050 5q8a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050 5q8a60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13" name="Рисунок 13" descr="11051 5q8a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051 5q8a60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2" name="Рисунок 12" descr="11052 5q8a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052 5q8a60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11" name="Рисунок 11" descr="11053 5q8a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053 5q8a60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10" name="Рисунок 10" descr="11054 5q8a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054 5q8a6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9" name="Рисунок 9" descr="11055 5q8a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055 5q8a6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8" name="Рисунок 8" descr="11056 5q8a6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056 5q8a61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7" name="Рисунок 7" descr="11057 5q8a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057 5q8a6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6" name="Рисунок 6" descr="11058 5q8a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058 5q8a6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5" name="Рисунок 5" descr="11050 5q8a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050 5q8a60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4" name="Рисунок 4" descr="11051 5q8a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051 5q8a60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3" name="Рисунок 3" descr="11052 5q8a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052 5q8a60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drawing>
          <wp:inline distT="0" distB="0" distL="0" distR="0">
            <wp:extent cx="4290060" cy="2857500"/>
            <wp:effectExtent l="0" t="0" r="0" b="0"/>
            <wp:docPr id="2" name="Рисунок 2" descr="11053 5q8a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053 5q8a60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noProof/>
          <w:vanish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290060" cy="2857500"/>
            <wp:effectExtent l="0" t="0" r="0" b="0"/>
            <wp:docPr id="1" name="Рисунок 1" descr="11054 5q8a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054 5q8a6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proofErr w:type="spellStart"/>
      <w:r w:rsidRPr="00C92132"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  <w:t>prev</w:t>
      </w:r>
      <w:proofErr w:type="spellEnd"/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</w:pPr>
      <w:proofErr w:type="spellStart"/>
      <w:r w:rsidRPr="00C92132">
        <w:rPr>
          <w:rFonts w:ascii="Open Sans" w:eastAsia="Times New Roman" w:hAnsi="Open Sans" w:cs="Times New Roman"/>
          <w:vanish/>
          <w:color w:val="333333"/>
          <w:sz w:val="21"/>
          <w:szCs w:val="21"/>
          <w:lang w:eastAsia="ru-RU"/>
        </w:rPr>
        <w:t>next</w:t>
      </w:r>
      <w:proofErr w:type="spellEnd"/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Вопросы контроля за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антиконкурентными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 соглашениями в свете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элекронизации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 осветил начальник Управления по борьбе за картелями Андрей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Тенишев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10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 xml:space="preserve">«Электронизация закупок обеспечивает естественные технологические барьеры для картелей и повышает уровень анонимности на электронных торговых площадках с одной стороны и с другой дает полную открытость торгов для государственного контроля. Сотни картелей на торгах мы нашли потому, что осуществляем </w:t>
      </w:r>
      <w:proofErr w:type="spellStart"/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>проактивный</w:t>
      </w:r>
      <w:proofErr w:type="spellEnd"/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 xml:space="preserve"> мониторинг электронных торгов. Чем большая их часть перейдет в электронную форму, тем более жестким будет за ними государственный контроль. Реализуемый нами проект «Большой цифровой кот» пока еще котенок, но он вырастет и одно его присутствие уже залог того, что «картельных мышей» на торгах станет меньше».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Также он отметил, что в практике антимонопольного органа наметилась положительная тенденция, когда крупные государственные компании сами обращаются в ФАС при обнаружении картелей на своих закупках, представляя соответствующие материалы. Тем самым, по словам Андрея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Тенишева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, организации существенно экономят собственные средства и содействуют развитию конкуренции в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госзакупках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 xml:space="preserve">Отдельно спикер остановился на вопросе охраны тайны связи в эпоху </w:t>
      </w:r>
      <w:proofErr w:type="spellStart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цифровизации</w:t>
      </w:r>
      <w:proofErr w:type="spellEnd"/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10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i/>
          <w:iCs/>
          <w:color w:val="333333"/>
          <w:sz w:val="21"/>
          <w:szCs w:val="21"/>
          <w:lang w:eastAsia="ru-RU"/>
        </w:rPr>
        <w:t>«Нам нужно принципиально по-новому подходить к определению тайны связи. Когда каналам связи общаются не люди, а роботы, компьютерные программы, то вряд ли тайна такого общения подлежит защите со стороны государства. В существующей ныне редакции статья 63 Закона о связи охраняет, не тайну связи, а каналы связи и в современных условиях эта норма входит в противоречие со ст. 23 Конституции России о праве граждан на тайну переписки и телефонных переговоров. С увеличением мобильного трафика мы рискуем утратить полноценный государственный контроль за электронными торгами».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C92132" w:rsidRPr="00C92132" w:rsidRDefault="00C92132" w:rsidP="00C92132">
      <w:pPr>
        <w:spacing w:after="0" w:line="270" w:lineRule="atLeast"/>
        <w:jc w:val="both"/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</w:pPr>
      <w:r w:rsidRPr="00C92132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*31 декабря 2017 года были внесены изменения в законодательство о контрактной системе и корпоративных закупках (в Закон № 44-ФЗ Федеральным законом № 504-ФЗ, в Закон № 223-ФЗ Федеральным законом № 505-ФЗ).</w:t>
      </w:r>
    </w:p>
    <w:p w:rsidR="00B8616F" w:rsidRDefault="00B8616F"/>
    <w:sectPr w:rsidR="00B8616F" w:rsidSect="00C92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4E"/>
    <w:rsid w:val="00B8616F"/>
    <w:rsid w:val="00C3764E"/>
    <w:rsid w:val="00C9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0956-B407-4294-89D9-6CF1DCA7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2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1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C921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1148">
                          <w:marLeft w:val="0"/>
                          <w:marRight w:val="0"/>
                          <w:marTop w:val="25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3" w:color="DDDDDD"/>
                            <w:right w:val="none" w:sz="0" w:space="0" w:color="auto"/>
                          </w:divBdr>
                          <w:divsChild>
                            <w:div w:id="133642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0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2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1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89015">
                                      <w:blockQuote w:val="1"/>
                                      <w:marLeft w:val="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51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37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0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70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47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9476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376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488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0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580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49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1522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21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51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1629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2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309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333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537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719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1803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036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174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10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00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851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658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66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693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000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662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63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383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94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135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7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788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15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173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30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61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0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9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8347334">
                                      <w:blockQuote w:val="1"/>
                                      <w:marLeft w:val="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424631">
                                      <w:blockQuote w:val="1"/>
                                      <w:marLeft w:val="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 Венедиктова</dc:creator>
  <cp:keywords/>
  <dc:description/>
  <cp:lastModifiedBy>Татьяна Владимировна Венедиктова</cp:lastModifiedBy>
  <cp:revision>2</cp:revision>
  <dcterms:created xsi:type="dcterms:W3CDTF">2018-10-30T05:48:00Z</dcterms:created>
  <dcterms:modified xsi:type="dcterms:W3CDTF">2018-10-30T05:59:00Z</dcterms:modified>
</cp:coreProperties>
</file>