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18BB" w:rsidRDefault="006A18BB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6A18BB" w:rsidRDefault="006A18BB">
      <w:pPr>
        <w:pStyle w:val="ConsPlusNormal"/>
        <w:jc w:val="both"/>
        <w:outlineLvl w:val="0"/>
      </w:pPr>
    </w:p>
    <w:p w:rsidR="006A18BB" w:rsidRDefault="006A18BB">
      <w:pPr>
        <w:pStyle w:val="ConsPlusTitle"/>
        <w:jc w:val="center"/>
        <w:outlineLvl w:val="0"/>
      </w:pPr>
      <w:r>
        <w:t>РЕГИОНАЛЬНАЯ ЭНЕРГЕТИЧЕСКАЯ КОМИССИЯ ТЮМЕНСКОЙ ОБЛАСТИ,</w:t>
      </w:r>
    </w:p>
    <w:p w:rsidR="006A18BB" w:rsidRDefault="006A18BB">
      <w:pPr>
        <w:pStyle w:val="ConsPlusTitle"/>
        <w:jc w:val="center"/>
      </w:pPr>
      <w:r>
        <w:t>ХАНТЫ-МАНСИЙСКОГО АВТОНОМНОГО ОКРУГА - ЮГРЫ,</w:t>
      </w:r>
    </w:p>
    <w:p w:rsidR="006A18BB" w:rsidRDefault="006A18BB">
      <w:pPr>
        <w:pStyle w:val="ConsPlusTitle"/>
        <w:jc w:val="center"/>
      </w:pPr>
      <w:r>
        <w:t>ЯМАЛО-НЕНЕЦКОГО АВТОНОМНОГО ОКРУГА</w:t>
      </w:r>
    </w:p>
    <w:p w:rsidR="006A18BB" w:rsidRDefault="006A18BB">
      <w:pPr>
        <w:pStyle w:val="ConsPlusTitle"/>
        <w:jc w:val="center"/>
      </w:pPr>
    </w:p>
    <w:p w:rsidR="006A18BB" w:rsidRDefault="006A18BB">
      <w:pPr>
        <w:pStyle w:val="ConsPlusTitle"/>
        <w:jc w:val="center"/>
      </w:pPr>
      <w:r>
        <w:t>РАСПОРЯЖЕНИЕ</w:t>
      </w:r>
    </w:p>
    <w:p w:rsidR="006A18BB" w:rsidRDefault="006A18BB">
      <w:pPr>
        <w:pStyle w:val="ConsPlusTitle"/>
        <w:jc w:val="center"/>
      </w:pPr>
      <w:r>
        <w:t>от 22 ноября 2019 г. N 15</w:t>
      </w:r>
    </w:p>
    <w:p w:rsidR="006A18BB" w:rsidRDefault="006A18BB">
      <w:pPr>
        <w:pStyle w:val="ConsPlusTitle"/>
        <w:jc w:val="center"/>
      </w:pPr>
    </w:p>
    <w:p w:rsidR="006A18BB" w:rsidRDefault="006A18BB">
      <w:pPr>
        <w:pStyle w:val="ConsPlusTitle"/>
        <w:jc w:val="center"/>
      </w:pPr>
      <w:r>
        <w:t>ОБ УСТАНОВЛЕНИИ ЦЕН (ТАРИФОВ) НА ЭЛЕКТРИЧЕСКУЮ ЭНЕРГИЮ</w:t>
      </w:r>
    </w:p>
    <w:p w:rsidR="006A18BB" w:rsidRDefault="006A18BB">
      <w:pPr>
        <w:pStyle w:val="ConsPlusTitle"/>
        <w:jc w:val="center"/>
      </w:pPr>
      <w:r>
        <w:t>ДЛЯ НАСЕЛЕНИЯ И ПРИРАВНЕННЫХ К НЕМУ КАТЕГОРИЙ ПОТРЕБИТЕЛЕЙ</w:t>
      </w:r>
    </w:p>
    <w:p w:rsidR="006A18BB" w:rsidRDefault="006A18BB">
      <w:pPr>
        <w:pStyle w:val="ConsPlusTitle"/>
        <w:jc w:val="center"/>
      </w:pPr>
      <w:r>
        <w:t>ПО ТЮМЕНСКОЙ ОБЛАСТИ, ХАНТЫ-МАНСИЙСКОМУ АВТОНОМНОМУ ОКРУГУ -</w:t>
      </w:r>
    </w:p>
    <w:p w:rsidR="006A18BB" w:rsidRDefault="006A18BB">
      <w:pPr>
        <w:pStyle w:val="ConsPlusTitle"/>
        <w:jc w:val="center"/>
      </w:pPr>
      <w:r>
        <w:t>ЮГРЕ И ЯМАЛО-НЕНЕЦКОМУ АВТОНОМНОМУ ОКРУГУ НА 2020 ГОД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26.03.2003 N 35-ФЗ "Об электроэнергетике",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29.12.2011 N 1178 "О ценообразовании в области регулируемых цен (тарифов) в электроэнергетике", </w:t>
      </w:r>
      <w:hyperlink r:id="rId7" w:history="1">
        <w:r>
          <w:rPr>
            <w:color w:val="0000FF"/>
          </w:rPr>
          <w:t>Индексами</w:t>
        </w:r>
      </w:hyperlink>
      <w:r>
        <w:t xml:space="preserve"> изменения размера вносимой гражданами платы за коммунальные услуги в среднем по субъектам Российской Федерации на 2020 год, утвержденными распоряжением Правительства Российской Федерации от 29.10.2019 N 2556-р, </w:t>
      </w:r>
      <w:hyperlink r:id="rId8" w:history="1">
        <w:r>
          <w:rPr>
            <w:color w:val="0000FF"/>
          </w:rPr>
          <w:t>Приказом</w:t>
        </w:r>
      </w:hyperlink>
      <w:r>
        <w:t xml:space="preserve"> ФАС России от 11.10.2019 N 1338/19 "О предельных минимальных и максимальных уровнях тарифов на электрическую энергию (мощность) на 2020 год":</w:t>
      </w:r>
    </w:p>
    <w:p w:rsidR="006A18BB" w:rsidRDefault="006A18BB">
      <w:pPr>
        <w:pStyle w:val="ConsPlusNormal"/>
        <w:spacing w:before="220"/>
        <w:ind w:firstLine="540"/>
        <w:jc w:val="both"/>
      </w:pPr>
      <w:r>
        <w:t xml:space="preserve">Установить с 1 января 2020 года по 31 декабря 2020 года </w:t>
      </w:r>
      <w:hyperlink w:anchor="P27" w:history="1">
        <w:r>
          <w:rPr>
            <w:color w:val="0000FF"/>
          </w:rPr>
          <w:t>цены</w:t>
        </w:r>
      </w:hyperlink>
      <w:r>
        <w:t xml:space="preserve"> (тарифы) на электрическую энергию для населения и приравненных к нему категорий потребителей по Тюменской области, Ханты-Мансийскому автономному округу - Югре и Ямало-Ненецкому автономному округу, согласно приложению.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right"/>
      </w:pPr>
      <w:r>
        <w:t>Заместитель председателя</w:t>
      </w:r>
    </w:p>
    <w:p w:rsidR="006A18BB" w:rsidRDefault="006A18BB">
      <w:pPr>
        <w:pStyle w:val="ConsPlusNormal"/>
        <w:jc w:val="right"/>
      </w:pPr>
      <w:r>
        <w:t>А.В.ЛИТВЯКОВ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right"/>
        <w:outlineLvl w:val="0"/>
      </w:pPr>
      <w:r>
        <w:t>Приложение</w:t>
      </w:r>
    </w:p>
    <w:p w:rsidR="006A18BB" w:rsidRDefault="006A18BB">
      <w:pPr>
        <w:pStyle w:val="ConsPlusNormal"/>
        <w:jc w:val="right"/>
      </w:pPr>
      <w:r>
        <w:t>к распоряжению</w:t>
      </w:r>
    </w:p>
    <w:p w:rsidR="006A18BB" w:rsidRDefault="006A18BB">
      <w:pPr>
        <w:pStyle w:val="ConsPlusNormal"/>
        <w:jc w:val="right"/>
      </w:pPr>
      <w:r>
        <w:t>от 22.11.2019 N 15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Title"/>
        <w:jc w:val="center"/>
      </w:pPr>
      <w:bookmarkStart w:id="0" w:name="P27"/>
      <w:bookmarkEnd w:id="0"/>
      <w:r>
        <w:t>ЦЕНЫ (ТАРИФЫ)</w:t>
      </w:r>
    </w:p>
    <w:p w:rsidR="006A18BB" w:rsidRDefault="006A18BB">
      <w:pPr>
        <w:pStyle w:val="ConsPlusTitle"/>
        <w:jc w:val="center"/>
      </w:pPr>
      <w:r>
        <w:t>НА ЭЛЕКТРИЧЕСКУЮ ЭНЕРГИЮ ДЛЯ НАСЕЛЕНИЯ И ПРИРАВНЕННЫХ К НЕМУ</w:t>
      </w:r>
    </w:p>
    <w:p w:rsidR="006A18BB" w:rsidRDefault="006A18BB">
      <w:pPr>
        <w:pStyle w:val="ConsPlusTitle"/>
        <w:jc w:val="center"/>
      </w:pPr>
      <w:r>
        <w:t>КАТЕГОРИЙ ПОТРЕБИТЕЛЕЙ ПО ТЮМЕНСКОЙ ОБЛАСТИ,</w:t>
      </w:r>
    </w:p>
    <w:p w:rsidR="006A18BB" w:rsidRDefault="006A18BB">
      <w:pPr>
        <w:pStyle w:val="ConsPlusTitle"/>
        <w:jc w:val="center"/>
      </w:pPr>
      <w:r>
        <w:t>ХАНТЫ-МАНСИЙСКОМУ АВТОНОМНОМУ ОКРУГУ - ЮГРЕ</w:t>
      </w:r>
    </w:p>
    <w:p w:rsidR="006A18BB" w:rsidRDefault="006A18BB">
      <w:pPr>
        <w:pStyle w:val="ConsPlusTitle"/>
        <w:jc w:val="center"/>
      </w:pPr>
      <w:r>
        <w:t>И ЯМАЛО-НЕНЕЦКОМУ АВТОНОМНОМУ ОКРУГУ НА 2020 ГОД</w:t>
      </w:r>
    </w:p>
    <w:p w:rsidR="006A18BB" w:rsidRDefault="006A1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4139"/>
        <w:gridCol w:w="1247"/>
        <w:gridCol w:w="1515"/>
        <w:gridCol w:w="1515"/>
      </w:tblGrid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N</w:t>
            </w:r>
          </w:p>
          <w:p w:rsidR="006A18BB" w:rsidRDefault="006A18B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4139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Показатель (группы потребителей</w:t>
            </w:r>
          </w:p>
          <w:p w:rsidR="006A18BB" w:rsidRDefault="006A18BB">
            <w:pPr>
              <w:pStyle w:val="ConsPlusNormal"/>
              <w:jc w:val="center"/>
            </w:pPr>
            <w:r>
              <w:t>с разбивкой по ставкам и</w:t>
            </w:r>
          </w:p>
          <w:p w:rsidR="006A18BB" w:rsidRDefault="006A18BB">
            <w:pPr>
              <w:pStyle w:val="ConsPlusNormal"/>
              <w:jc w:val="center"/>
            </w:pPr>
            <w:r>
              <w:t>дифференциацией по зонам суток)</w:t>
            </w:r>
          </w:p>
        </w:tc>
        <w:tc>
          <w:tcPr>
            <w:tcW w:w="1247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  <w:vMerge/>
          </w:tcPr>
          <w:p w:rsidR="006A18BB" w:rsidRDefault="006A18BB"/>
        </w:tc>
        <w:tc>
          <w:tcPr>
            <w:tcW w:w="1247" w:type="dxa"/>
            <w:vMerge/>
          </w:tcPr>
          <w:p w:rsidR="006A18BB" w:rsidRDefault="006A18BB"/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Цена</w:t>
            </w:r>
          </w:p>
          <w:p w:rsidR="006A18BB" w:rsidRDefault="006A18BB">
            <w:pPr>
              <w:pStyle w:val="ConsPlusNormal"/>
              <w:jc w:val="center"/>
            </w:pPr>
            <w:r>
              <w:t>(тариф)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Цена</w:t>
            </w:r>
          </w:p>
          <w:p w:rsidR="006A18BB" w:rsidRDefault="006A18BB">
            <w:pPr>
              <w:pStyle w:val="ConsPlusNormal"/>
              <w:jc w:val="center"/>
            </w:pPr>
            <w:r>
              <w:t>(тариф)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5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Население и приравненные к ним, за исключением населения и потребителей, указанных в </w:t>
            </w:r>
            <w:hyperlink w:anchor="P84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118" w:history="1">
              <w:r>
                <w:rPr>
                  <w:color w:val="0000FF"/>
                </w:rPr>
                <w:t>3</w:t>
              </w:r>
            </w:hyperlink>
            <w:r>
              <w:t xml:space="preserve"> (тарифы указываются с учетом НДС):</w:t>
            </w:r>
          </w:p>
          <w:p w:rsidR="006A18BB" w:rsidRDefault="006A18BB">
            <w:pPr>
              <w:pStyle w:val="ConsPlusNormal"/>
            </w:pPr>
            <w:r>
              <w:lastRenderedPageBreak/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3,02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  <w:outlineLvl w:val="1"/>
            </w:pPr>
            <w:bookmarkStart w:id="1" w:name="P84"/>
            <w:bookmarkEnd w:id="1"/>
            <w:r>
              <w:t>2.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Население, проживающее в городских населенных пунктах в домах, оборудованных стационарными электроплитами и (или) электроотопительными установками </w:t>
            </w:r>
            <w:hyperlink w:anchor="P287" w:history="1">
              <w:r>
                <w:rPr>
                  <w:color w:val="0000FF"/>
                </w:rPr>
                <w:t>&lt;2&gt;</w:t>
              </w:r>
            </w:hyperlink>
            <w:r>
              <w:t>, и приравненные к ним (тарифы указываются с учетом НДС):</w:t>
            </w:r>
          </w:p>
          <w:p w:rsidR="006A18BB" w:rsidRDefault="006A18BB">
            <w:pPr>
              <w:pStyle w:val="ConsPlusNormal"/>
            </w:pPr>
            <w:r>
              <w:t xml:space="preserve"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</w:t>
            </w:r>
            <w:r>
              <w:lastRenderedPageBreak/>
              <w:t>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2.1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2,11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1,01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1,04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2,14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2,09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1,01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1,04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  <w:outlineLvl w:val="1"/>
            </w:pPr>
            <w:bookmarkStart w:id="2" w:name="P118"/>
            <w:bookmarkEnd w:id="2"/>
            <w:r>
              <w:t>3.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Население, проживающее в сельских населенных пунктах </w:t>
            </w:r>
            <w:hyperlink w:anchor="P288" w:history="1">
              <w:r>
                <w:rPr>
                  <w:color w:val="0000FF"/>
                </w:rPr>
                <w:t>&lt;3&gt;</w:t>
              </w:r>
            </w:hyperlink>
            <w:r>
              <w:t>, и приравненные к ним (тарифы указываются с учетом НДС):</w:t>
            </w:r>
          </w:p>
          <w:p w:rsidR="006A18BB" w:rsidRDefault="006A18BB">
            <w:pPr>
              <w:pStyle w:val="ConsPlusNormal"/>
            </w:pPr>
            <w:r>
              <w:t>- 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- 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</w:t>
            </w:r>
            <w:r>
              <w:lastRenderedPageBreak/>
              <w:t xml:space="preserve">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2,11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1,01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1,04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2,14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2,09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1,01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1,04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Потребители, приравненные к населению (тарифы указываются с учетом НДС):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4.1.1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4.1.2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3,02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4.1.3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4.2.1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4.2.2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3,02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4.2.3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Содержащиеся за счет прихожан религиозные организации.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4.3.1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4.3.2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двум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3,02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4.3.3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6A18BB" w:rsidRDefault="006A18BB">
            <w:pPr>
              <w:pStyle w:val="ConsPlusNormal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289" w:history="1">
              <w:r>
                <w:rPr>
                  <w:color w:val="0000FF"/>
                </w:rPr>
                <w:t>&lt;4&gt;</w:t>
              </w:r>
            </w:hyperlink>
            <w:r>
              <w:t>.</w:t>
            </w:r>
          </w:p>
        </w:tc>
      </w:tr>
      <w:tr w:rsidR="006A18BB">
        <w:tc>
          <w:tcPr>
            <w:tcW w:w="624" w:type="dxa"/>
          </w:tcPr>
          <w:p w:rsidR="006A18BB" w:rsidRDefault="006A18BB">
            <w:pPr>
              <w:pStyle w:val="ConsPlusNormal"/>
              <w:jc w:val="center"/>
            </w:pPr>
            <w:r>
              <w:t>4.4.1</w:t>
            </w:r>
          </w:p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Одноставочный тариф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4.4.2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>Одноставочный тариф, дифференцированный по двум зонам суток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Дневная зона (пиковая и полупиковая)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2,92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3,02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  <w:tr w:rsidR="006A18BB">
        <w:tc>
          <w:tcPr>
            <w:tcW w:w="624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4.4.3</w:t>
            </w:r>
          </w:p>
        </w:tc>
        <w:tc>
          <w:tcPr>
            <w:tcW w:w="8416" w:type="dxa"/>
            <w:gridSpan w:val="4"/>
          </w:tcPr>
          <w:p w:rsidR="006A18BB" w:rsidRDefault="006A18BB">
            <w:pPr>
              <w:pStyle w:val="ConsPlusNormal"/>
            </w:pPr>
            <w:r>
              <w:t xml:space="preserve">Одноставочный тариф, дифференцированный по трем зонам суток </w:t>
            </w:r>
            <w:hyperlink w:anchor="P286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3,04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Полупиковая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2,87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2,97</w:t>
            </w:r>
          </w:p>
        </w:tc>
      </w:tr>
      <w:tr w:rsidR="006A18BB">
        <w:tc>
          <w:tcPr>
            <w:tcW w:w="624" w:type="dxa"/>
            <w:vMerge/>
          </w:tcPr>
          <w:p w:rsidR="006A18BB" w:rsidRDefault="006A18BB"/>
        </w:tc>
        <w:tc>
          <w:tcPr>
            <w:tcW w:w="4139" w:type="dxa"/>
          </w:tcPr>
          <w:p w:rsidR="006A18BB" w:rsidRDefault="006A18BB">
            <w:pPr>
              <w:pStyle w:val="ConsPlusNormal"/>
            </w:pPr>
            <w:r>
              <w:t>Ночная зона</w:t>
            </w:r>
          </w:p>
        </w:tc>
        <w:tc>
          <w:tcPr>
            <w:tcW w:w="1247" w:type="dxa"/>
          </w:tcPr>
          <w:p w:rsidR="006A18BB" w:rsidRDefault="006A18BB">
            <w:pPr>
              <w:pStyle w:val="ConsPlusNormal"/>
              <w:jc w:val="center"/>
            </w:pPr>
            <w:r>
              <w:t>руб./кВт.ч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1,44</w:t>
            </w:r>
          </w:p>
        </w:tc>
        <w:tc>
          <w:tcPr>
            <w:tcW w:w="1515" w:type="dxa"/>
          </w:tcPr>
          <w:p w:rsidR="006A18BB" w:rsidRDefault="006A18BB">
            <w:pPr>
              <w:pStyle w:val="ConsPlusNormal"/>
              <w:jc w:val="center"/>
            </w:pPr>
            <w:r>
              <w:t>1,49</w:t>
            </w:r>
          </w:p>
        </w:tc>
      </w:tr>
    </w:tbl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ind w:firstLine="540"/>
        <w:jc w:val="both"/>
      </w:pPr>
      <w:r>
        <w:lastRenderedPageBreak/>
        <w:t>--------------------------------</w:t>
      </w:r>
    </w:p>
    <w:p w:rsidR="006A18BB" w:rsidRDefault="006A18BB">
      <w:pPr>
        <w:pStyle w:val="ConsPlusNormal"/>
        <w:spacing w:before="220"/>
        <w:ind w:firstLine="540"/>
        <w:jc w:val="both"/>
      </w:pPr>
      <w:r>
        <w:t>Примечание:</w:t>
      </w:r>
    </w:p>
    <w:p w:rsidR="006A18BB" w:rsidRDefault="006A18BB">
      <w:pPr>
        <w:pStyle w:val="ConsPlusNormal"/>
        <w:spacing w:before="220"/>
        <w:ind w:firstLine="540"/>
        <w:jc w:val="both"/>
      </w:pPr>
      <w:bookmarkStart w:id="3" w:name="P286"/>
      <w:bookmarkEnd w:id="3"/>
      <w:r>
        <w:t>&lt;1&gt; Интервалы тарифных зон суток (по месяцам календарного года) утверждаются Федеральной антимонопольной службой России.</w:t>
      </w:r>
    </w:p>
    <w:p w:rsidR="006A18BB" w:rsidRDefault="006A18BB">
      <w:pPr>
        <w:pStyle w:val="ConsPlusNormal"/>
        <w:spacing w:before="220"/>
        <w:ind w:firstLine="540"/>
        <w:jc w:val="both"/>
      </w:pPr>
      <w:bookmarkStart w:id="4" w:name="P287"/>
      <w:bookmarkEnd w:id="4"/>
      <w:r>
        <w:t xml:space="preserve">&lt;2&gt; Тариф указан с применением понижающего коэффициента 0,7 в соответствии с </w:t>
      </w:r>
      <w:hyperlink r:id="rId9" w:history="1">
        <w:r>
          <w:rPr>
            <w:color w:val="0000FF"/>
          </w:rPr>
          <w:t>решением</w:t>
        </w:r>
      </w:hyperlink>
      <w:r>
        <w:t xml:space="preserve"> РЭК N 189 от 29.06.2012.</w:t>
      </w:r>
    </w:p>
    <w:p w:rsidR="006A18BB" w:rsidRDefault="006A18BB">
      <w:pPr>
        <w:pStyle w:val="ConsPlusNormal"/>
        <w:spacing w:before="220"/>
        <w:ind w:firstLine="540"/>
        <w:jc w:val="both"/>
      </w:pPr>
      <w:bookmarkStart w:id="5" w:name="P288"/>
      <w:bookmarkEnd w:id="5"/>
      <w:r>
        <w:t xml:space="preserve">&lt;3&gt; Тариф указан с применением понижающего коэффициента 0,7 в соответствии с </w:t>
      </w:r>
      <w:hyperlink r:id="rId10" w:history="1">
        <w:r>
          <w:rPr>
            <w:color w:val="0000FF"/>
          </w:rPr>
          <w:t>решением</w:t>
        </w:r>
      </w:hyperlink>
      <w:r>
        <w:t xml:space="preserve"> РЭК N 129 от 12.11.2013.</w:t>
      </w:r>
    </w:p>
    <w:p w:rsidR="006A18BB" w:rsidRDefault="006A18BB">
      <w:pPr>
        <w:pStyle w:val="ConsPlusNormal"/>
        <w:spacing w:before="220"/>
        <w:ind w:firstLine="540"/>
        <w:jc w:val="both"/>
      </w:pPr>
      <w:bookmarkStart w:id="6" w:name="P289"/>
      <w:bookmarkEnd w:id="6"/>
      <w:r>
        <w:t>&lt;4&gt;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right"/>
        <w:outlineLvl w:val="1"/>
      </w:pPr>
      <w:r>
        <w:t>Таблица 1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Title"/>
        <w:jc w:val="center"/>
      </w:pPr>
      <w:r>
        <w:t>Балансовые показатели планового объема полезного отпуска</w:t>
      </w:r>
    </w:p>
    <w:p w:rsidR="006A18BB" w:rsidRDefault="006A18BB">
      <w:pPr>
        <w:pStyle w:val="ConsPlusTitle"/>
        <w:jc w:val="center"/>
      </w:pPr>
      <w:r>
        <w:t>электрической энергии, используемые при расчете цен</w:t>
      </w:r>
    </w:p>
    <w:p w:rsidR="006A18BB" w:rsidRDefault="006A18BB">
      <w:pPr>
        <w:pStyle w:val="ConsPlusTitle"/>
        <w:jc w:val="center"/>
      </w:pPr>
      <w:r>
        <w:t>(тарифов) на электрическую энергию для населения</w:t>
      </w:r>
    </w:p>
    <w:p w:rsidR="006A18BB" w:rsidRDefault="006A18BB">
      <w:pPr>
        <w:pStyle w:val="ConsPlusTitle"/>
        <w:jc w:val="center"/>
      </w:pPr>
      <w:r>
        <w:t>и приравненным к нему категорий потребителей по Тюменской</w:t>
      </w:r>
    </w:p>
    <w:p w:rsidR="006A18BB" w:rsidRDefault="006A18BB">
      <w:pPr>
        <w:pStyle w:val="ConsPlusTitle"/>
        <w:jc w:val="center"/>
      </w:pPr>
      <w:r>
        <w:t>области, Ханты-Мансийскому автономному округу - Югре</w:t>
      </w:r>
    </w:p>
    <w:p w:rsidR="006A18BB" w:rsidRDefault="006A18BB">
      <w:pPr>
        <w:pStyle w:val="ConsPlusTitle"/>
        <w:jc w:val="center"/>
      </w:pPr>
      <w:r>
        <w:t>и Ямало-Ненецкому автономному округу</w:t>
      </w:r>
    </w:p>
    <w:p w:rsidR="006A18BB" w:rsidRDefault="006A1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13"/>
        <w:gridCol w:w="1444"/>
        <w:gridCol w:w="1445"/>
      </w:tblGrid>
      <w:tr w:rsidR="006A18BB">
        <w:tc>
          <w:tcPr>
            <w:tcW w:w="567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N</w:t>
            </w:r>
          </w:p>
          <w:p w:rsidR="006A18BB" w:rsidRDefault="006A18B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613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Группы (подгруппы) потребителей</w:t>
            </w:r>
          </w:p>
        </w:tc>
        <w:tc>
          <w:tcPr>
            <w:tcW w:w="2889" w:type="dxa"/>
            <w:gridSpan w:val="2"/>
          </w:tcPr>
          <w:p w:rsidR="006A18BB" w:rsidRDefault="006A18BB">
            <w:pPr>
              <w:pStyle w:val="ConsPlusNormal"/>
              <w:jc w:val="center"/>
            </w:pPr>
            <w:r>
              <w:t>Плановый объем полезного отпуска электрической энергии, млн. кВт.ч</w:t>
            </w:r>
          </w:p>
        </w:tc>
      </w:tr>
      <w:tr w:rsidR="006A18BB">
        <w:tc>
          <w:tcPr>
            <w:tcW w:w="567" w:type="dxa"/>
            <w:vMerge/>
          </w:tcPr>
          <w:p w:rsidR="006A18BB" w:rsidRDefault="006A18BB"/>
        </w:tc>
        <w:tc>
          <w:tcPr>
            <w:tcW w:w="5613" w:type="dxa"/>
            <w:vMerge/>
          </w:tcPr>
          <w:p w:rsidR="006A18BB" w:rsidRDefault="006A18BB"/>
        </w:tc>
        <w:tc>
          <w:tcPr>
            <w:tcW w:w="1444" w:type="dxa"/>
          </w:tcPr>
          <w:p w:rsidR="006A18BB" w:rsidRDefault="006A18BB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445" w:type="dxa"/>
          </w:tcPr>
          <w:p w:rsidR="006A18BB" w:rsidRDefault="006A18BB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4" w:type="dxa"/>
          </w:tcPr>
          <w:p w:rsidR="006A18BB" w:rsidRDefault="006A1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5" w:type="dxa"/>
          </w:tcPr>
          <w:p w:rsidR="006A18BB" w:rsidRDefault="006A18BB">
            <w:pPr>
              <w:pStyle w:val="ConsPlusNormal"/>
              <w:jc w:val="center"/>
            </w:pPr>
            <w:r>
              <w:t>4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  <w:vAlign w:val="center"/>
          </w:tcPr>
          <w:p w:rsidR="006A18BB" w:rsidRDefault="006A18BB">
            <w:pPr>
              <w:pStyle w:val="ConsPlusNormal"/>
            </w:pPr>
            <w:r>
              <w:t xml:space="preserve">Население и приравненные к ним, за исключением населения и потребителей, указанных в </w:t>
            </w:r>
            <w:hyperlink w:anchor="P317" w:history="1">
              <w:r>
                <w:rPr>
                  <w:color w:val="0000FF"/>
                </w:rPr>
                <w:t>пунктах 2</w:t>
              </w:r>
            </w:hyperlink>
            <w:r>
              <w:t xml:space="preserve"> и </w:t>
            </w:r>
            <w:hyperlink w:anchor="P324" w:history="1">
              <w:r>
                <w:rPr>
                  <w:color w:val="0000FF"/>
                </w:rPr>
                <w:t>3</w:t>
              </w:r>
            </w:hyperlink>
            <w:r>
              <w:t>:</w:t>
            </w:r>
          </w:p>
          <w:p w:rsidR="006A18BB" w:rsidRDefault="006A18BB">
            <w:pPr>
              <w:pStyle w:val="ConsPlusNormal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</w:t>
            </w:r>
            <w:r>
              <w:lastRenderedPageBreak/>
              <w:t>системы социального обслуживания населения,</w:t>
            </w:r>
          </w:p>
          <w:p w:rsidR="006A18BB" w:rsidRDefault="006A18BB">
            <w:pPr>
              <w:pStyle w:val="ConsPlusNormal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444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522,08</w:t>
            </w:r>
          </w:p>
        </w:tc>
        <w:tc>
          <w:tcPr>
            <w:tcW w:w="1445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470,01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bookmarkStart w:id="7" w:name="P317"/>
            <w:bookmarkEnd w:id="7"/>
            <w:r>
              <w:lastRenderedPageBreak/>
              <w:t>2.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(или) электроотопительными установками, и приравненные к ним:</w:t>
            </w:r>
          </w:p>
          <w:p w:rsidR="006A18BB" w:rsidRDefault="006A18BB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6A18BB" w:rsidRDefault="006A18BB">
            <w:pPr>
              <w:pStyle w:val="ConsPlusNormal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 xml:space="preserve"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</w:t>
            </w:r>
            <w:r>
              <w:lastRenderedPageBreak/>
              <w:t>прибора учета электрической энергии.</w:t>
            </w:r>
          </w:p>
        </w:tc>
        <w:tc>
          <w:tcPr>
            <w:tcW w:w="1444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1598,51</w:t>
            </w:r>
          </w:p>
        </w:tc>
        <w:tc>
          <w:tcPr>
            <w:tcW w:w="1445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1436,63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bookmarkStart w:id="8" w:name="P324"/>
            <w:bookmarkEnd w:id="8"/>
            <w:r>
              <w:lastRenderedPageBreak/>
              <w:t>3.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Население, проживающее в сельских населенных пунктах, и приравненные к ним:</w:t>
            </w:r>
          </w:p>
          <w:p w:rsidR="006A18BB" w:rsidRDefault="006A18BB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</w:t>
            </w:r>
          </w:p>
          <w:p w:rsidR="006A18BB" w:rsidRDefault="006A18BB">
            <w:pPr>
              <w:pStyle w:val="ConsPlusNormal"/>
            </w:pPr>
            <w:r>
              <w:t>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</w:t>
            </w:r>
          </w:p>
          <w:p w:rsidR="006A18BB" w:rsidRDefault="006A18BB">
            <w:pPr>
              <w:pStyle w:val="ConsPlusNormal"/>
            </w:pPr>
            <w:r>
              <w:t>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</w:tc>
        <w:tc>
          <w:tcPr>
            <w:tcW w:w="1444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623,83</w:t>
            </w:r>
          </w:p>
        </w:tc>
        <w:tc>
          <w:tcPr>
            <w:tcW w:w="1445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473,68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Потребители, приравненные к населению:</w:t>
            </w:r>
          </w:p>
        </w:tc>
        <w:tc>
          <w:tcPr>
            <w:tcW w:w="1444" w:type="dxa"/>
            <w:vMerge w:val="restart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246,32</w:t>
            </w:r>
          </w:p>
        </w:tc>
        <w:tc>
          <w:tcPr>
            <w:tcW w:w="1445" w:type="dxa"/>
            <w:vMerge w:val="restart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310,12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4.2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4.3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Содержащиеся за счет прихожан религиозные организации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4.4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</w:t>
            </w:r>
            <w:r>
              <w:lastRenderedPageBreak/>
              <w:t>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4.5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сараи).</w:t>
            </w:r>
          </w:p>
          <w:p w:rsidR="006A18BB" w:rsidRDefault="006A18BB">
            <w:pPr>
              <w:pStyle w:val="ConsPlusNormal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</w:tbl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right"/>
        <w:outlineLvl w:val="1"/>
      </w:pPr>
      <w:r>
        <w:t>Таблица 2</w:t>
      </w:r>
    </w:p>
    <w:p w:rsidR="006A18BB" w:rsidRDefault="006A18BB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613"/>
        <w:gridCol w:w="1444"/>
        <w:gridCol w:w="1445"/>
      </w:tblGrid>
      <w:tr w:rsidR="006A18BB">
        <w:tc>
          <w:tcPr>
            <w:tcW w:w="567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N</w:t>
            </w:r>
          </w:p>
          <w:p w:rsidR="006A18BB" w:rsidRDefault="006A18BB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613" w:type="dxa"/>
            <w:vMerge w:val="restart"/>
          </w:tcPr>
          <w:p w:rsidR="006A18BB" w:rsidRDefault="006A18BB">
            <w:pPr>
              <w:pStyle w:val="ConsPlusNormal"/>
              <w:jc w:val="center"/>
            </w:pPr>
            <w:r>
              <w:t>Показатель</w:t>
            </w:r>
          </w:p>
        </w:tc>
        <w:tc>
          <w:tcPr>
            <w:tcW w:w="2889" w:type="dxa"/>
            <w:gridSpan w:val="2"/>
          </w:tcPr>
          <w:p w:rsidR="006A18BB" w:rsidRDefault="006A18BB">
            <w:pPr>
              <w:pStyle w:val="ConsPlusNormal"/>
              <w:jc w:val="center"/>
            </w:pPr>
            <w:r>
              <w:t>Примененный понижающий коэффициент при установлении цен (тарифов) на электрическую энергию (мощность)</w:t>
            </w:r>
          </w:p>
        </w:tc>
      </w:tr>
      <w:tr w:rsidR="006A18BB">
        <w:tc>
          <w:tcPr>
            <w:tcW w:w="567" w:type="dxa"/>
            <w:vMerge/>
          </w:tcPr>
          <w:p w:rsidR="006A18BB" w:rsidRDefault="006A18BB"/>
        </w:tc>
        <w:tc>
          <w:tcPr>
            <w:tcW w:w="5613" w:type="dxa"/>
            <w:vMerge/>
          </w:tcPr>
          <w:p w:rsidR="006A18BB" w:rsidRDefault="006A18BB"/>
        </w:tc>
        <w:tc>
          <w:tcPr>
            <w:tcW w:w="1444" w:type="dxa"/>
          </w:tcPr>
          <w:p w:rsidR="006A18BB" w:rsidRDefault="006A18BB">
            <w:pPr>
              <w:pStyle w:val="ConsPlusNormal"/>
              <w:jc w:val="center"/>
            </w:pPr>
            <w:r>
              <w:t>I полугодие</w:t>
            </w:r>
          </w:p>
        </w:tc>
        <w:tc>
          <w:tcPr>
            <w:tcW w:w="1445" w:type="dxa"/>
          </w:tcPr>
          <w:p w:rsidR="006A18BB" w:rsidRDefault="006A18BB">
            <w:pPr>
              <w:pStyle w:val="ConsPlusNormal"/>
              <w:jc w:val="center"/>
            </w:pPr>
            <w:r>
              <w:t>II полугодие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44" w:type="dxa"/>
          </w:tcPr>
          <w:p w:rsidR="006A18BB" w:rsidRDefault="006A18BB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45" w:type="dxa"/>
          </w:tcPr>
          <w:p w:rsidR="006A18BB" w:rsidRDefault="006A18BB">
            <w:pPr>
              <w:pStyle w:val="ConsPlusNormal"/>
              <w:jc w:val="center"/>
            </w:pPr>
            <w:r>
              <w:t>4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Население, проживающее в городских населенных пунктах в домах, оборудованных стационарными электроплитами и (или) электроотопительными установками, и приравненные к ним:</w:t>
            </w:r>
          </w:p>
          <w:p w:rsidR="006A18BB" w:rsidRDefault="006A18BB">
            <w:pPr>
              <w:pStyle w:val="ConsPlusNormal"/>
            </w:pPr>
            <w:r>
              <w:t xml:space="preserve"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</w:t>
            </w:r>
            <w:r>
              <w:lastRenderedPageBreak/>
              <w:t>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445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0,7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Население, проживающее в сельских населенных пунктах, и приравненные к ним:</w:t>
            </w:r>
          </w:p>
          <w:p w:rsidR="006A18BB" w:rsidRDefault="006A18BB">
            <w:pPr>
              <w:pStyle w:val="ConsPlusNormal"/>
            </w:pPr>
            <w:r>
              <w:t>исполнители коммунальных услуг (товарищества собственников жилья, жилищно-строительные, жилищные или иные специализированные потребительские кооперативы либо управляющие организации), приобретающие электрическую энергию (мощность) для предоставления коммунальных услуг собственникам и пользователям жилых помещений и содержания общего имущества многоквартирных домов; наймодатели (или уполномоченные ими лица), предоставляющие гражданам жилые помещения специализированного жилищного фонда, включая жилые помещения в общежитиях, жилые помещения маневренного фонда, жилые помещения в домах системы социального обслуживания населения, жилые помещения фонда для временного поселения вынужденных переселенцев, жилые помещения фонда для временного проживания лиц, признанных беженцами, а также жилые помещения для социальной защиты отдельных категорий граждан, приобретающие электрическую энергию (мощность) для предоставления коммунальных услуг пользователям таких жилых помещений в объемах потребления электрической энергии населением и содержания мест общего пользования в домах, в которых имеются жилые помещения специализированного жилого фонда;</w:t>
            </w:r>
          </w:p>
          <w:p w:rsidR="006A18BB" w:rsidRDefault="006A18BB">
            <w:pPr>
              <w:pStyle w:val="ConsPlusNormal"/>
            </w:pPr>
            <w:r>
              <w:t>юридические и физические лица, приобретающие электрическую энергию (мощность) в целях потребления на коммунально-бытовые нужды в населенных пунктах и жилых зонах при воинских частях и рассчитывающиеся по договору энергоснабжения по показаниям общего прибора учета электрической энергии.</w:t>
            </w:r>
          </w:p>
          <w:p w:rsidR="006A18BB" w:rsidRDefault="006A18BB">
            <w:pPr>
              <w:pStyle w:val="ConsPlusNormal"/>
            </w:pPr>
            <w:r>
              <w:lastRenderedPageBreak/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населению и приравненным к нему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0,7</w:t>
            </w:r>
          </w:p>
        </w:tc>
        <w:tc>
          <w:tcPr>
            <w:tcW w:w="1445" w:type="dxa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0,7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lastRenderedPageBreak/>
              <w:t>3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Потребители, приравненные к населению:</w:t>
            </w:r>
          </w:p>
        </w:tc>
        <w:tc>
          <w:tcPr>
            <w:tcW w:w="1444" w:type="dxa"/>
            <w:vMerge w:val="restart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45" w:type="dxa"/>
            <w:vMerge w:val="restart"/>
            <w:vAlign w:val="center"/>
          </w:tcPr>
          <w:p w:rsidR="006A18BB" w:rsidRDefault="006A18BB">
            <w:pPr>
              <w:pStyle w:val="ConsPlusNormal"/>
              <w:jc w:val="center"/>
            </w:pPr>
            <w:r>
              <w:t>1</w:t>
            </w:r>
          </w:p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Садоводческие некоммерческие товарищества и огороднические некоммерческие товарищества.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Юридические лица, приобретающие электрическую энергию (мощность) в целях потребления осужденными в помещениях для их содержания при условии наличия раздельного учета электрической энергии для указанных помещений.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Содержащиеся за счет прихожан религиозные организации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  <w:tr w:rsidR="006A18BB">
        <w:tc>
          <w:tcPr>
            <w:tcW w:w="567" w:type="dxa"/>
          </w:tcPr>
          <w:p w:rsidR="006A18BB" w:rsidRDefault="006A18BB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5613" w:type="dxa"/>
          </w:tcPr>
          <w:p w:rsidR="006A18BB" w:rsidRDefault="006A18BB">
            <w:pPr>
              <w:pStyle w:val="ConsPlusNormal"/>
            </w:pPr>
            <w:r>
              <w:t>Объединения граждан, приобретающих электрическую энергию (мощность) для использования в принадлежащих им хозяйственных постройках (погреба, сараи)</w:t>
            </w:r>
          </w:p>
          <w:p w:rsidR="006A18BB" w:rsidRDefault="006A18BB">
            <w:pPr>
              <w:pStyle w:val="ConsPlusNormal"/>
            </w:pPr>
            <w:r>
              <w:t>Некоммерческие объединения граждан (гаражно-строительные, гаражные кооперативы) и граждане, владеющие отдельно стоящими гаражами, приобретающие электрическую энергию (мощность) в целях потребления на коммунально-бытовые нужды и не используемую для осуществления коммерческой деятельности.</w:t>
            </w:r>
          </w:p>
          <w:p w:rsidR="006A18BB" w:rsidRDefault="006A18BB">
            <w:pPr>
              <w:pStyle w:val="ConsPlusNormal"/>
            </w:pPr>
            <w:r>
              <w:t xml:space="preserve">Гарантирующие поставщики, энергосбытовые, энергоснабжающие организации, приобретающие электрическую энергию (мощность) в целях дальнейшей продажи приравненным к населению категориям потребителей, указанным в данном пункте </w:t>
            </w:r>
            <w:hyperlink w:anchor="P393" w:history="1">
              <w:r>
                <w:rPr>
                  <w:color w:val="0000FF"/>
                </w:rPr>
                <w:t>&lt;1&gt;</w:t>
              </w:r>
            </w:hyperlink>
            <w:r>
              <w:t>.</w:t>
            </w:r>
          </w:p>
        </w:tc>
        <w:tc>
          <w:tcPr>
            <w:tcW w:w="1444" w:type="dxa"/>
            <w:vMerge/>
          </w:tcPr>
          <w:p w:rsidR="006A18BB" w:rsidRDefault="006A18BB"/>
        </w:tc>
        <w:tc>
          <w:tcPr>
            <w:tcW w:w="1445" w:type="dxa"/>
            <w:vMerge/>
          </w:tcPr>
          <w:p w:rsidR="006A18BB" w:rsidRDefault="006A18BB"/>
        </w:tc>
      </w:tr>
    </w:tbl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ind w:firstLine="540"/>
        <w:jc w:val="both"/>
      </w:pPr>
      <w:r>
        <w:t>--------------------------------</w:t>
      </w:r>
    </w:p>
    <w:p w:rsidR="006A18BB" w:rsidRDefault="006A18BB">
      <w:pPr>
        <w:pStyle w:val="ConsPlusNormal"/>
        <w:spacing w:before="220"/>
        <w:ind w:firstLine="540"/>
        <w:jc w:val="both"/>
      </w:pPr>
      <w:bookmarkStart w:id="9" w:name="P393"/>
      <w:bookmarkEnd w:id="9"/>
      <w:r>
        <w:lastRenderedPageBreak/>
        <w:t>&lt;1&gt; При наличии соответствующих категорий потребителей, относящихся к населению или приравненным к нему категориям потребителей, у гарантирующего поставщика, энергосбытовой, энергоснабжающей организации, приобретающих электрическую энергию (мощность) в целях дальнейшей продажи населению и приравненным к нему категориям потребителей в объемах фактического потребления населения и приравненных к нему категорий потребителей и объемах электроэнергии, израсходованной на места общего пользования в целях потребления на коммунально-бытовые нужды граждан и не используемой для осуществления коммерческой (профессиональной) деятельности.</w:t>
      </w: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jc w:val="both"/>
      </w:pPr>
    </w:p>
    <w:p w:rsidR="006A18BB" w:rsidRDefault="006A18B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36F2B" w:rsidRDefault="00B36F2B">
      <w:bookmarkStart w:id="10" w:name="_GoBack"/>
      <w:bookmarkEnd w:id="10"/>
    </w:p>
    <w:sectPr w:rsidR="00B36F2B" w:rsidSect="00B34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8BB"/>
    <w:rsid w:val="006A18BB"/>
    <w:rsid w:val="00B3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717BCB-058F-4D73-A941-6066A014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A18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A18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A18B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DDBD535157EA3837EB04B810F0BDCC36ECC28A9FD88B62381B0AA9ACA10CF26A2E23035D9015BA9BEF76856DL0X0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ADDBD535157EA3837EB04B810F0BDCC36ECCC8E9ED88B62381B0AA9ACA10CF2782E7B0F5F910BBA9CFA20D42B55B080D3556A899901B24EL5XB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DDBD535157EA3837EB04B810F0BDCC36EBC88D9FD68B62381B0AA9ACA10CF2782E7B0D5B9800EECBB521886D01A382D355688885L0X3G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3ADDBD535157EA3837EB04B810F0BDCC36EBC88B9FDC8B62381B0AA9ACA10CF2782E7B0F5F900ABA9FFA20D42B55B080D3556A899901B24EL5XBG" TargetMode="External"/><Relationship Id="rId10" Type="http://schemas.openxmlformats.org/officeDocument/2006/relationships/hyperlink" Target="consultantplus://offline/ref=3ADDBD535157EA3837EB1AB5069CEAC333E4948692DB833D634451F4FBA806A53F61225F1BC406B89BEF74847102BD80LDX2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3ADDBD535157EA3837EB1AB5069CEAC333E4948693DE82316C4451F4FBA806A53F61225F1BC406B89BEF74847102BD80LDX2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4084</Words>
  <Characters>23281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2020-01-21T06:23:00Z</dcterms:created>
  <dcterms:modified xsi:type="dcterms:W3CDTF">2020-01-21T06:23:00Z</dcterms:modified>
</cp:coreProperties>
</file>