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173E2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95277" w:rsidRP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</w:p>
    <w:p w:rsidR="007528D3" w:rsidRDefault="007528D3" w:rsidP="007528D3">
      <w:pPr>
        <w:shd w:val="clear" w:color="auto" w:fill="FFFFFF"/>
        <w:spacing w:line="240" w:lineRule="exact"/>
        <w:contextualSpacing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«</w:t>
      </w:r>
      <w:r w:rsidRPr="007528D3">
        <w:rPr>
          <w:b/>
          <w:bCs/>
          <w:color w:val="000000"/>
          <w:kern w:val="36"/>
        </w:rPr>
        <w:t>Уголовная ответственность за публичное распространение заведомо ложной информации об обстоятельствах, представляющих угрозу жизни и безопасности людей</w:t>
      </w:r>
      <w:r>
        <w:rPr>
          <w:b/>
          <w:bCs/>
          <w:color w:val="000000"/>
          <w:kern w:val="36"/>
        </w:rPr>
        <w:t>»</w:t>
      </w:r>
    </w:p>
    <w:p w:rsidR="007528D3" w:rsidRDefault="007528D3" w:rsidP="007528D3">
      <w:pPr>
        <w:shd w:val="clear" w:color="auto" w:fill="FFFFFF"/>
        <w:spacing w:line="240" w:lineRule="exact"/>
        <w:contextualSpacing/>
        <w:jc w:val="center"/>
        <w:outlineLvl w:val="0"/>
        <w:rPr>
          <w:b/>
          <w:bCs/>
          <w:color w:val="000000"/>
          <w:kern w:val="36"/>
        </w:rPr>
      </w:pP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r w:rsidRPr="007528D3">
        <w:t>Федеральным законом от 1 апреля 2020 года № 100-ФЗ внесены изменения в </w:t>
      </w:r>
      <w:hyperlink r:id="rId7" w:tgtFrame="_blank" w:history="1">
        <w:r w:rsidRPr="007528D3">
          <w:t>статью 236 Уголовного кодекса Российской Федерации</w:t>
        </w:r>
      </w:hyperlink>
      <w:r w:rsidRPr="007528D3">
        <w:t>, предусматривающую ответственность за нарушение санитарно-эпидемиологических правил.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proofErr w:type="gramStart"/>
      <w:r w:rsidRPr="007528D3">
        <w:t>В соответствии с внесенными изменениями,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месяцев, либо лишением права занимать определенные должности или заниматься определенной деятельностью</w:t>
      </w:r>
      <w:proofErr w:type="gramEnd"/>
      <w:r w:rsidRPr="007528D3">
        <w:t xml:space="preserve"> на срок от одного года до трех лет, либо ограничением свободы на срок до двух лет, либо принудительными работами на срок до двух лет, либо лишением свободы на тот же срок.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r w:rsidRPr="007528D3">
        <w:t>В случае</w:t>
      </w:r>
      <w:proofErr w:type="gramStart"/>
      <w:r w:rsidRPr="007528D3">
        <w:t>,</w:t>
      </w:r>
      <w:proofErr w:type="gramEnd"/>
      <w:r w:rsidRPr="007528D3">
        <w:t xml:space="preserve"> если нарушение санитарно-эпидемиологических правил, повлекло по неосторожности смерть человека, лицо может быть осуждено к наказанию в виде лишения свободы на срок от трех до пяти лет, а в случае, смерти двух и более лиц - к лишению свободы на срок от пяти до семи лет.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r w:rsidRPr="007528D3">
        <w:t xml:space="preserve"> Кроме того, введены в действие новые статьи 207.1 и 207.2 Уголовного кодекса Российской Федерации, предусматривающие, в частности, ответственность </w:t>
      </w:r>
      <w:proofErr w:type="gramStart"/>
      <w:r w:rsidRPr="007528D3">
        <w:t>за</w:t>
      </w:r>
      <w:proofErr w:type="gramEnd"/>
      <w:r w:rsidRPr="007528D3">
        <w:t>: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proofErr w:type="gramStart"/>
      <w:r w:rsidRPr="007528D3">
        <w:t>-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– в виде штрафа в размере от трехсот тысяч до семисот тысяч рублей или в размере заработной платы или иного дохода осужденного за период от одного</w:t>
      </w:r>
      <w:proofErr w:type="gramEnd"/>
      <w:r w:rsidRPr="007528D3">
        <w:t xml:space="preserve"> года до восемнадцати месяцев, либо обязательных работ на срок до трехсот шестидесяти часов, либо исправительных работ на срок до одного года, либо ограничения свободы на срок до трех лет;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proofErr w:type="gramStart"/>
      <w:r w:rsidRPr="007528D3">
        <w:t xml:space="preserve">- публичное распространение под видом достоверных сообщений заведомо ложной общественно значимой информации, повлекшее по неосторожности причинение вреда здоровью человека, - в виде штрафа в размере от семисот тысяч до одного миллиона пятисот тысяч рублей или в размере заработной платы или </w:t>
      </w:r>
      <w:r w:rsidRPr="007528D3">
        <w:lastRenderedPageBreak/>
        <w:t>иного дохода осужденного за период до восемнадцати месяцев, либо исправительных работ на срок до одного года, либо принудительных работ на срок до</w:t>
      </w:r>
      <w:proofErr w:type="gramEnd"/>
      <w:r w:rsidRPr="007528D3">
        <w:t xml:space="preserve"> трех лет, либо лишения свободы на тот же срок.</w:t>
      </w:r>
    </w:p>
    <w:p w:rsidR="007528D3" w:rsidRPr="007528D3" w:rsidRDefault="007528D3" w:rsidP="007528D3">
      <w:pPr>
        <w:shd w:val="clear" w:color="auto" w:fill="FFFFFF"/>
        <w:ind w:firstLine="709"/>
        <w:contextualSpacing/>
        <w:jc w:val="both"/>
      </w:pPr>
      <w:proofErr w:type="gramStart"/>
      <w:r w:rsidRPr="007528D3">
        <w:t>В случае если те же деяния повлекли по неосторожности смерть человека или иные тяжкие последствия, -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лет, либо исправительных работ на срок до двух лет, либо принудительных работ на срок до</w:t>
      </w:r>
      <w:proofErr w:type="gramEnd"/>
      <w:r w:rsidRPr="007528D3">
        <w:t xml:space="preserve"> пяти лет, либо лишения свободы на тот же срок.</w:t>
      </w:r>
    </w:p>
    <w:p w:rsidR="007528D3" w:rsidRDefault="007528D3" w:rsidP="0061021A">
      <w:pPr>
        <w:spacing w:line="240" w:lineRule="exact"/>
        <w:contextualSpacing/>
        <w:jc w:val="both"/>
      </w:pPr>
    </w:p>
    <w:p w:rsidR="007528D3" w:rsidRDefault="007528D3" w:rsidP="0061021A">
      <w:pPr>
        <w:spacing w:line="240" w:lineRule="exact"/>
        <w:contextualSpacing/>
        <w:jc w:val="both"/>
      </w:pPr>
      <w:bookmarkStart w:id="0" w:name="_GoBack"/>
      <w:bookmarkEnd w:id="0"/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915116" w:rsidRDefault="00915116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A0621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6A13E5"/>
    <w:rsid w:val="007101C9"/>
    <w:rsid w:val="00734130"/>
    <w:rsid w:val="00736EB4"/>
    <w:rsid w:val="00750C32"/>
    <w:rsid w:val="007528D3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base.ru/ugolovnyj-kodeks/statja-2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D24D-E885-4426-B3C8-1272FCC1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62</cp:revision>
  <cp:lastPrinted>2020-02-12T12:04:00Z</cp:lastPrinted>
  <dcterms:created xsi:type="dcterms:W3CDTF">2019-08-09T12:01:00Z</dcterms:created>
  <dcterms:modified xsi:type="dcterms:W3CDTF">2020-04-30T07:34:00Z</dcterms:modified>
</cp:coreProperties>
</file>