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8D586D" w:rsidRPr="008D586D" w:rsidRDefault="008D586D" w:rsidP="008D586D">
      <w:pPr>
        <w:pStyle w:val="3"/>
        <w:jc w:val="center"/>
        <w:rPr>
          <w:color w:val="000000"/>
          <w:sz w:val="28"/>
          <w:szCs w:val="28"/>
        </w:rPr>
      </w:pPr>
      <w:r w:rsidRPr="008D586D">
        <w:rPr>
          <w:color w:val="000000"/>
          <w:sz w:val="28"/>
          <w:szCs w:val="28"/>
        </w:rPr>
        <w:t>Результаты аукциона по размещению пенсионных накоплений в банковские депозиты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CE2C32" w:rsidRPr="00CE2C32" w:rsidRDefault="00CE2C32" w:rsidP="00CE2C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>На Санкт-Петербургской валютной бирже прошел отбор заявок на размещение средств резерва ПФР по обязательному пенсионному страхованию в банковские депозиты. В результате аукциона удовлетворены заявки двух кредитных организаций на общую сумму 7,5 </w:t>
      </w:r>
      <w:proofErr w:type="gramStart"/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>млрд</w:t>
      </w:r>
      <w:proofErr w:type="gramEnd"/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рублей, то есть всю сумму, выставленную к торгам. Средства будут размещены в депозиты по ставке 15,25% </w:t>
      </w:r>
      <w:proofErr w:type="gramStart"/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>годовых</w:t>
      </w:r>
      <w:proofErr w:type="gramEnd"/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сроком на 53 дня с 28 апреля по 20 июня 2022 года.</w:t>
      </w:r>
    </w:p>
    <w:p w:rsidR="00CE2C32" w:rsidRPr="00CE2C32" w:rsidRDefault="00CE2C32" w:rsidP="00CE2C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 w:rsidR="00CE2C32" w:rsidRPr="00CE2C32" w:rsidRDefault="00CE2C32" w:rsidP="00CE2C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 </w:t>
      </w:r>
      <w:hyperlink r:id="rId6" w:history="1">
        <w:r w:rsidRPr="00CE2C32">
          <w:rPr>
            <w:rFonts w:ascii="Arial" w:eastAsia="Times New Roman" w:hAnsi="Arial" w:cs="Arial"/>
            <w:color w:val="212121"/>
            <w:spacing w:val="-5"/>
            <w:sz w:val="24"/>
            <w:szCs w:val="24"/>
            <w:u w:val="single"/>
          </w:rPr>
          <w:t>Подробнее</w:t>
        </w:r>
      </w:hyperlink>
      <w:r w:rsidRPr="00CE2C32">
        <w:rPr>
          <w:rFonts w:ascii="Arial" w:eastAsia="Times New Roman" w:hAnsi="Arial" w:cs="Arial"/>
          <w:color w:val="212121"/>
          <w:spacing w:val="-5"/>
          <w:sz w:val="24"/>
          <w:szCs w:val="24"/>
        </w:rPr>
        <w:t> о размещении пенсионных накоплений в банковские депозиты.</w:t>
      </w:r>
    </w:p>
    <w:p w:rsidR="00CE2C32" w:rsidRPr="00CE2C32" w:rsidRDefault="00CE2C32" w:rsidP="00CE2C32">
      <w:pPr>
        <w:rPr>
          <w:rFonts w:ascii="Calibri" w:eastAsia="Calibri" w:hAnsi="Calibri" w:cs="Times New Roman"/>
          <w:lang w:eastAsia="en-US"/>
        </w:rPr>
      </w:pPr>
      <w:hyperlink r:id="rId7" w:history="1">
        <w:r w:rsidRPr="00CE2C32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https://pfr.gov.ru/grazhdanam/pensions/pens_nak/bank_depozit/~630</w:t>
        </w:r>
      </w:hyperlink>
    </w:p>
    <w:p w:rsidR="00CE2C32" w:rsidRPr="00CE2C32" w:rsidRDefault="00CE2C32" w:rsidP="00CE2C32">
      <w:pPr>
        <w:rPr>
          <w:rFonts w:ascii="Calibri" w:eastAsia="Calibri" w:hAnsi="Calibri" w:cs="Times New Roman"/>
          <w:lang w:eastAsia="en-US"/>
        </w:rPr>
      </w:pPr>
    </w:p>
    <w:p w:rsidR="00CE2C32" w:rsidRPr="00CE2C32" w:rsidRDefault="00CE2C32" w:rsidP="00CE2C32">
      <w:pPr>
        <w:rPr>
          <w:rFonts w:ascii="Calibri" w:eastAsia="Calibri" w:hAnsi="Calibri" w:cs="Times New Roman"/>
          <w:i/>
          <w:lang w:eastAsia="en-US"/>
        </w:rPr>
      </w:pPr>
      <w:r w:rsidRPr="00CE2C32">
        <w:rPr>
          <w:rFonts w:ascii="Calibri" w:eastAsia="Calibri" w:hAnsi="Calibri" w:cs="Times New Roman"/>
          <w:i/>
          <w:lang w:eastAsia="en-US"/>
        </w:rPr>
        <w:t xml:space="preserve">Отделение ПФР по ХМАО – Югре </w:t>
      </w:r>
      <w:bookmarkStart w:id="0" w:name="_GoBack"/>
      <w:bookmarkEnd w:id="0"/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8D586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CE2C32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~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~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2022-05-11T06:55:00Z</dcterms:created>
  <dcterms:modified xsi:type="dcterms:W3CDTF">2022-05-11T06:55:00Z</dcterms:modified>
</cp:coreProperties>
</file>