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F6511F" w:rsidRDefault="00F6511F" w:rsidP="00F6511F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Югре прошёл единый день приёма пожилых граждан по вопросам пенсионного обеспечения</w:t>
      </w:r>
    </w:p>
    <w:bookmarkEnd w:id="0"/>
    <w:p w:rsidR="00F6511F" w:rsidRDefault="00F6511F" w:rsidP="00F6511F">
      <w:pPr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F6511F" w:rsidRDefault="00F6511F" w:rsidP="00F6511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 сентября в Югре прошёл единый день приёма пожилых граждан по вопросам пенсионного обеспечения.</w:t>
      </w:r>
    </w:p>
    <w:p w:rsidR="00F6511F" w:rsidRDefault="00F6511F" w:rsidP="00F6511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Приёмы проводились с участием депутатов всех уровней партии «Единая Россия» и представителей Пенсионного фонда Российской Федерации в ХМАО – Югре.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Консультации пожилых граждан прошли в Ханты-Мансийске, Сургуте, Нижневартовске,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Пыть-Яхе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Нефтеюганске,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Мегионе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Радужном,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Урае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Нягани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Белоярском,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Покачах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Лангепасе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Когалыме,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Югорске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Октябрьском,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Берёзовском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Советском районах.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целом по ХМАО – Югре в единый день приёма специалисты ОПФР дали более 120 консультаций. Заявителей интересовали вопросы </w:t>
      </w:r>
      <w:r>
        <w:rPr>
          <w:rFonts w:ascii="Times New Roman" w:hAnsi="Times New Roman" w:cs="Times New Roman"/>
          <w:sz w:val="28"/>
          <w:szCs w:val="28"/>
        </w:rPr>
        <w:t>перерасчета размера пенсии, учета периодов трудовой деятельности, порядка расчета будущей пенсии, досрочного выхода на пенсию и многие другие вопросы пенсионного обеспечения.</w:t>
      </w:r>
    </w:p>
    <w:p w:rsidR="00F6511F" w:rsidRDefault="00F6511F" w:rsidP="00F6511F">
      <w:pPr>
        <w:ind w:firstLine="993"/>
        <w:jc w:val="both"/>
      </w:pPr>
      <w:r>
        <w:rPr>
          <w:rFonts w:ascii="Times New Roman" w:hAnsi="Times New Roman" w:cs="Times New Roman"/>
          <w:sz w:val="28"/>
          <w:szCs w:val="28"/>
        </w:rPr>
        <w:t>Граждане, которые не сумели посетить приём лично, смогли задать вопросы специалистам Пенсионного фонда по телефону и также получить подробные консультации и ответы.</w:t>
      </w:r>
    </w:p>
    <w:p w:rsidR="00F6511F" w:rsidRPr="00D804B9" w:rsidRDefault="00F6511F" w:rsidP="00F6511F">
      <w:pPr>
        <w:pStyle w:val="a4"/>
        <w:shd w:val="clear" w:color="auto" w:fill="FFFFFF"/>
        <w:spacing w:before="0" w:beforeAutospacing="0"/>
        <w:ind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Напомним,  </w:t>
      </w:r>
      <w:proofErr w:type="spellStart"/>
      <w:r>
        <w:rPr>
          <w:color w:val="212121"/>
          <w:sz w:val="28"/>
          <w:szCs w:val="28"/>
        </w:rPr>
        <w:t>ю</w:t>
      </w:r>
      <w:r>
        <w:rPr>
          <w:sz w:val="28"/>
          <w:szCs w:val="28"/>
        </w:rPr>
        <w:t>горчане</w:t>
      </w:r>
      <w:proofErr w:type="spellEnd"/>
      <w:r>
        <w:rPr>
          <w:sz w:val="28"/>
          <w:szCs w:val="28"/>
        </w:rPr>
        <w:t xml:space="preserve"> могут задать вопросы </w:t>
      </w:r>
      <w:r>
        <w:rPr>
          <w:color w:val="212121"/>
          <w:sz w:val="28"/>
          <w:szCs w:val="28"/>
        </w:rPr>
        <w:t xml:space="preserve">в официальных аккаунтах Отделения -  </w:t>
      </w:r>
      <w:r>
        <w:rPr>
          <w:color w:val="000000"/>
          <w:sz w:val="28"/>
          <w:szCs w:val="28"/>
        </w:rPr>
        <w:t xml:space="preserve">ВК : </w:t>
      </w:r>
      <w:hyperlink r:id="rId6" w:history="1">
        <w:r>
          <w:rPr>
            <w:rStyle w:val="aa"/>
            <w:sz w:val="28"/>
            <w:szCs w:val="28"/>
          </w:rPr>
          <w:t>https://vk.com/id278053852</w:t>
        </w:r>
      </w:hyperlink>
      <w:r>
        <w:rPr>
          <w:color w:val="000000"/>
          <w:sz w:val="28"/>
          <w:szCs w:val="28"/>
        </w:rPr>
        <w:t xml:space="preserve"> и  </w:t>
      </w:r>
      <w:proofErr w:type="gramStart"/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: </w:t>
      </w:r>
      <w:hyperlink r:id="rId7" w:history="1">
        <w:r>
          <w:rPr>
            <w:rStyle w:val="aa"/>
            <w:sz w:val="28"/>
            <w:szCs w:val="28"/>
          </w:rPr>
          <w:t>https://ok.ru/opfr.ugra</w:t>
        </w:r>
      </w:hyperlink>
      <w:r>
        <w:rPr>
          <w:rStyle w:val="aa"/>
          <w:sz w:val="28"/>
          <w:szCs w:val="28"/>
        </w:rPr>
        <w:t xml:space="preserve"> .   </w:t>
      </w:r>
      <w:r>
        <w:rPr>
          <w:sz w:val="28"/>
          <w:szCs w:val="28"/>
        </w:rPr>
        <w:t xml:space="preserve">Также можно обратиться в онлайн-приемную </w:t>
      </w:r>
      <w:r w:rsidRPr="00D804B9">
        <w:rPr>
          <w:rStyle w:val="a3"/>
          <w:rFonts w:eastAsiaTheme="majorEastAsia"/>
          <w:b w:val="0"/>
          <w:color w:val="212121"/>
          <w:sz w:val="28"/>
          <w:szCs w:val="28"/>
          <w:shd w:val="clear" w:color="auto" w:fill="FFFFFF"/>
        </w:rPr>
        <w:t>Пенсионного фонда</w:t>
      </w:r>
      <w:r>
        <w:rPr>
          <w:rStyle w:val="a3"/>
          <w:rFonts w:eastAsiaTheme="majorEastAsia"/>
          <w:color w:val="212121"/>
          <w:sz w:val="28"/>
          <w:szCs w:val="28"/>
          <w:shd w:val="clear" w:color="auto" w:fill="FFFFFF"/>
        </w:rPr>
        <w:t> </w:t>
      </w:r>
      <w:hyperlink r:id="rId8" w:history="1">
        <w:r w:rsidRPr="00D804B9">
          <w:rPr>
            <w:rStyle w:val="aa"/>
            <w:sz w:val="28"/>
            <w:szCs w:val="28"/>
            <w:shd w:val="clear" w:color="auto" w:fill="FFFFFF"/>
          </w:rPr>
          <w:t>https://es.pfrf.ru/appeal</w:t>
        </w:r>
      </w:hyperlink>
      <w:r w:rsidRPr="00D804B9">
        <w:rPr>
          <w:color w:val="303134"/>
          <w:sz w:val="28"/>
          <w:szCs w:val="28"/>
          <w:shd w:val="clear" w:color="auto" w:fill="FFFFFF"/>
        </w:rPr>
        <w:t xml:space="preserve"> .</w:t>
      </w:r>
      <w:r>
        <w:rPr>
          <w:b/>
          <w:color w:val="303134"/>
          <w:sz w:val="28"/>
          <w:szCs w:val="28"/>
          <w:shd w:val="clear" w:color="auto" w:fill="FFFFFF"/>
        </w:rPr>
        <w:t xml:space="preserve">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511F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651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65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opfr.ug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27805385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2022-09-12T04:48:00Z</dcterms:created>
  <dcterms:modified xsi:type="dcterms:W3CDTF">2022-09-12T04:48:00Z</dcterms:modified>
</cp:coreProperties>
</file>